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8.png" ContentType="image/png"/>
  <Override PartName="/word/media/rId261.png" ContentType="image/png"/>
  <Override PartName="/word/media/rId251.png" ContentType="image/png"/>
  <Override PartName="/word/media/rId254.png" ContentType="image/png"/>
  <Override PartName="/word/media/rId150.png" ContentType="image/png"/>
  <Override PartName="/word/media/rId383.png" ContentType="image/png"/>
  <Override PartName="/word/media/rId328.pdf" ContentType="application/pdf"/>
  <Override PartName="/word/media/rId331.pdf" ContentType="application/pdf"/>
  <Override PartName="/word/media/rId334.pdf" ContentType="application/pdf"/>
  <Override PartName="/word/media/rId302.pdf" ContentType="application/pdf"/>
  <Override PartName="/word/media/rId322.pdf" ContentType="application/pdf"/>
  <Override PartName="/word/media/rId169.eps" ContentType="application/eps"/>
  <Override PartName="/word/media/rId355.png" ContentType="image/png"/>
  <Override PartName="/word/media/rId386.png" ContentType="image/png"/>
  <Override PartName="/word/media/rId94.png" ContentType="image/png"/>
  <Override PartName="/word/media/rId54.pdf" ContentType="application/pdf"/>
  <Override PartName="/word/media/rId177.png" ContentType="image/png"/>
  <Override PartName="/word/media/rId184.png" ContentType="image/png"/>
  <Override PartName="/word/media/rId88.png" ContentType="image/png"/>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293.pdf" ContentType="application/pdf"/>
  <Override PartName="/word/media/rId80.pdf" ContentType="application/pdf"/>
  <Override PartName="/word/media/rId242.png" ContentType="image/png"/>
  <Override PartName="/word/media/rId305.pdf" ContentType="application/pdf"/>
  <Override PartName="/word/media/rId180.eps" ContentType="application/eps"/>
  <Override PartName="/word/media/rId232.png" ContentType="image/png"/>
  <Override PartName="/word/media/rId60.pdf" ContentType="application/pdf"/>
  <Override PartName="/word/media/rId299.pdf" ContentType="application/pdf"/>
  <Override PartName="/word/media/rId203.png" ContentType="image/png"/>
  <Override PartName="/word/media/rId309.pdf" ContentType="application/pdf"/>
  <Override PartName="/word/media/rId173.eps" ContentType="application/eps"/>
  <Override PartName="/word/media/rId120.pdf" ContentType="application/pdf"/>
  <Override PartName="/word/media/rId236.png" ContentType="image/png"/>
  <Override PartName="/word/media/rId316.pdf" ContentType="application/pdf"/>
  <Override PartName="/word/media/rId66.png" ContentType="image/png"/>
  <Override PartName="/word/media/rId15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22,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4736788"/>
            <wp:effectExtent b="0" l="0" r="0" t="0"/>
            <wp:docPr descr="" title="" id="21" name="Picture"/>
            <a:graphic>
              <a:graphicData uri="http://schemas.openxmlformats.org/drawingml/2006/picture">
                <pic:pic>
                  <pic:nvPicPr>
                    <pic:cNvPr descr="source/figures/front_matter_1.png" id="22" name="Picture"/>
                    <pic:cNvPicPr>
                      <a:picLocks noChangeArrowheads="1" noChangeAspect="1"/>
                    </pic:cNvPicPr>
                  </pic:nvPicPr>
                  <pic:blipFill>
                    <a:blip r:embed="rId20"/>
                    <a:stretch>
                      <a:fillRect/>
                    </a:stretch>
                  </pic:blipFill>
                  <pic:spPr bwMode="auto">
                    <a:xfrm>
                      <a:off x="0" y="0"/>
                      <a:ext cx="5334000" cy="4736788"/>
                    </a:xfrm>
                    <a:prstGeom prst="rect">
                      <a:avLst/>
                    </a:prstGeom>
                    <a:noFill/>
                    <a:ln w="9525">
                      <a:noFill/>
                      <a:headEnd/>
                      <a:tailEnd/>
                    </a:ln>
                  </pic:spPr>
                </pic:pic>
              </a:graphicData>
            </a:graphic>
          </wp:inline>
        </w:drawing>
      </w:r>
    </w:p>
    <w:p>
      <w:pPr>
        <w:pStyle w:val="BodyText"/>
      </w:pPr>
      <w:r>
        <w:drawing>
          <wp:inline>
            <wp:extent cx="5334000" cy="4319090"/>
            <wp:effectExtent b="0" l="0" r="0" t="0"/>
            <wp:docPr descr="" title="" id="24" name="Picture"/>
            <a:graphic>
              <a:graphicData uri="http://schemas.openxmlformats.org/drawingml/2006/picture">
                <pic:pic>
                  <pic:nvPicPr>
                    <pic:cNvPr descr="source/figures/front_matter_2.png" id="25" name="Picture"/>
                    <pic:cNvPicPr>
                      <a:picLocks noChangeArrowheads="1" noChangeAspect="1"/>
                    </pic:cNvPicPr>
                  </pic:nvPicPr>
                  <pic:blipFill>
                    <a:blip r:embed="rId23"/>
                    <a:stretch>
                      <a:fillRect/>
                    </a:stretch>
                  </pic:blipFill>
                  <pic:spPr bwMode="auto">
                    <a:xfrm>
                      <a:off x="0" y="0"/>
                      <a:ext cx="5334000" cy="4319090"/>
                    </a:xfrm>
                    <a:prstGeom prst="rect">
                      <a:avLst/>
                    </a:prstGeom>
                    <a:noFill/>
                    <a:ln w="9525">
                      <a:noFill/>
                      <a:headEnd/>
                      <a:tailEnd/>
                    </a:ln>
                  </pic:spPr>
                </pic:pic>
              </a:graphicData>
            </a:graphic>
          </wp:inline>
        </w:drawing>
      </w:r>
    </w:p>
    <w:p>
      <w:pPr>
        <w:pStyle w:val="BodyText"/>
      </w:pPr>
      <w:r>
        <w:drawing>
          <wp:inline>
            <wp:extent cx="5334000" cy="3037098"/>
            <wp:effectExtent b="0" l="0" r="0" t="0"/>
            <wp:docPr descr="" title="" id="27" name="Picture"/>
            <a:graphic>
              <a:graphicData uri="http://schemas.openxmlformats.org/drawingml/2006/picture">
                <pic:pic>
                  <pic:nvPicPr>
                    <pic:cNvPr descr="source/figures/front_matter_3.png" id="28" name="Picture"/>
                    <pic:cNvPicPr>
                      <a:picLocks noChangeArrowheads="1" noChangeAspect="1"/>
                    </pic:cNvPicPr>
                  </pic:nvPicPr>
                  <pic:blipFill>
                    <a:blip r:embed="rId26"/>
                    <a:stretch>
                      <a:fillRect/>
                    </a:stretch>
                  </pic:blipFill>
                  <pic:spPr bwMode="auto">
                    <a:xfrm>
                      <a:off x="0" y="0"/>
                      <a:ext cx="5334000" cy="3037098"/>
                    </a:xfrm>
                    <a:prstGeom prst="rect">
                      <a:avLst/>
                    </a:prstGeom>
                    <a:noFill/>
                    <a:ln w="9525">
                      <a:noFill/>
                      <a:headEnd/>
                      <a:tailEnd/>
                    </a:ln>
                  </pic:spPr>
                </pic:pic>
              </a:graphicData>
            </a:graphic>
          </wp:inline>
        </w:drawing>
      </w:r>
    </w:p>
    <w:p>
      <w:pPr>
        <w:pStyle w:val="BodyText"/>
      </w:pPr>
      <w:r>
        <w:drawing>
          <wp:inline>
            <wp:extent cx="5334000" cy="3143931"/>
            <wp:effectExtent b="0" l="0" r="0" t="0"/>
            <wp:docPr descr="" title="" id="30" name="Picture"/>
            <a:graphic>
              <a:graphicData uri="http://schemas.openxmlformats.org/drawingml/2006/picture">
                <pic:pic>
                  <pic:nvPicPr>
                    <pic:cNvPr descr="source/figures/front_matter_4.png" id="31" name="Picture"/>
                    <pic:cNvPicPr>
                      <a:picLocks noChangeArrowheads="1" noChangeAspect="1"/>
                    </pic:cNvPicPr>
                  </pic:nvPicPr>
                  <pic:blipFill>
                    <a:blip r:embed="rId29"/>
                    <a:stretch>
                      <a:fillRect/>
                    </a:stretch>
                  </pic:blipFill>
                  <pic:spPr bwMode="auto">
                    <a:xfrm>
                      <a:off x="0" y="0"/>
                      <a:ext cx="5334000" cy="3143931"/>
                    </a:xfrm>
                    <a:prstGeom prst="rect">
                      <a:avLst/>
                    </a:prstGeom>
                    <a:noFill/>
                    <a:ln w="9525">
                      <a:noFill/>
                      <a:headEnd/>
                      <a:tailEnd/>
                    </a:ln>
                  </pic:spPr>
                </pic:pic>
              </a:graphicData>
            </a:graphic>
          </wp:inline>
        </w:drawing>
      </w:r>
    </w:p>
    <w:p>
      <w:pPr>
        <w:pStyle w:val="BodyText"/>
      </w:pPr>
      <w:r>
        <w:drawing>
          <wp:inline>
            <wp:extent cx="5334000" cy="3151562"/>
            <wp:effectExtent b="0" l="0" r="0" t="0"/>
            <wp:docPr descr="" title="" id="33" name="Picture"/>
            <a:graphic>
              <a:graphicData uri="http://schemas.openxmlformats.org/drawingml/2006/picture">
                <pic:pic>
                  <pic:nvPicPr>
                    <pic:cNvPr descr="source/figures/front_matter_5.png" id="34" name="Picture"/>
                    <pic:cNvPicPr>
                      <a:picLocks noChangeArrowheads="1" noChangeAspect="1"/>
                    </pic:cNvPicPr>
                  </pic:nvPicPr>
                  <pic:blipFill>
                    <a:blip r:embed="rId32"/>
                    <a:stretch>
                      <a:fillRect/>
                    </a:stretch>
                  </pic:blipFill>
                  <pic:spPr bwMode="auto">
                    <a:xfrm>
                      <a:off x="0" y="0"/>
                      <a:ext cx="5334000" cy="3151562"/>
                    </a:xfrm>
                    <a:prstGeom prst="rect">
                      <a:avLst/>
                    </a:prstGeom>
                    <a:noFill/>
                    <a:ln w="9525">
                      <a:noFill/>
                      <a:headEnd/>
                      <a:tailEnd/>
                    </a:ln>
                  </pic:spPr>
                </pic:pic>
              </a:graphicData>
            </a:graphic>
          </wp:inline>
        </w:drawing>
      </w:r>
    </w:p>
    <w:p>
      <w:pPr>
        <w:pStyle w:val="BodyText"/>
      </w:pPr>
      <w:r>
        <w:drawing>
          <wp:inline>
            <wp:extent cx="5334000" cy="1008256"/>
            <wp:effectExtent b="0" l="0" r="0" t="0"/>
            <wp:docPr descr="" title="" id="36" name="Picture"/>
            <a:graphic>
              <a:graphicData uri="http://schemas.openxmlformats.org/drawingml/2006/picture">
                <pic:pic>
                  <pic:nvPicPr>
                    <pic:cNvPr descr="source/figures/front_matter_6.png" id="37" name="Picture"/>
                    <pic:cNvPicPr>
                      <a:picLocks noChangeArrowheads="1" noChangeAspect="1"/>
                    </pic:cNvPicPr>
                  </pic:nvPicPr>
                  <pic:blipFill>
                    <a:blip r:embed="rId35"/>
                    <a:stretch>
                      <a:fillRect/>
                    </a:stretch>
                  </pic:blipFill>
                  <pic:spPr bwMode="auto">
                    <a:xfrm>
                      <a:off x="0" y="0"/>
                      <a:ext cx="5334000" cy="1008256"/>
                    </a:xfrm>
                    <a:prstGeom prst="rect">
                      <a:avLst/>
                    </a:prstGeom>
                    <a:noFill/>
                    <a:ln w="9525">
                      <a:noFill/>
                      <a:headEnd/>
                      <a:tailEnd/>
                    </a:ln>
                  </pic:spPr>
                </pic:pic>
              </a:graphicData>
            </a:graphic>
          </wp:inline>
        </w:drawing>
      </w:r>
    </w:p>
    <w:bookmarkStart w:id="38"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that identifies flexible and practical design solutions across operational timeframes (i.e. milliseconds to hours) by leveraging experience from the Australian National Electricity Market (NEM), the power system and electricity market that services the vast majority of the country’s electricity demand. The Australian NEM offers an excellent case study given that it regularly experiences high instantaneous penetrations of VRE, is increasingly integrating flexibility solutions in the form of demand-side and energy storage resources, and has transparent market arrangements that include a highly consultative market design process. Though I focus on the Australian NEM,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critical component to ensuring that imbalances are quickly addressed. In this thesis, I first explore what features are needed in centrally-coordinated arrangements for procuring frequency control services during energy transition. Through a comprehensive international review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Increased balancing flexibility will be required during energy transition. In wholesale electricity markets, market participation decisions determine the type and quantity of balancing flexibility available within scheduling timeframes. As such, market arrangements should be assessed to determine whether they are purpose-fit to deliver the balancing flexibility necessary to support high shares of VRE. As a contribution to this assessment,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explore whether market knowledge processes, which provide market participants with current and forecasted power system and market information, and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6 to ~50%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p>
      <w:pPr>
        <w:pStyle w:val="BodyText"/>
      </w:pPr>
      <w:r>
        <w:t xml:space="preserve">The key contributions of the work contained within this thesis include the development, improvement and maintenance of open-source software that facilitates accessing and analysing data from the Australian NEM, detailed empirical analysis of frequency control, reserve and scheduling arrangements in the NEM and other restructured jurisdictions, and pragmatic market design and governance recommendations that could assist the NEM and other jurisdictions in maintaining a balance of power as they progressively retire fossil fuel generation whilst simultaneously deploying massive amounts of variable renewable energy.</w:t>
      </w:r>
      <w:r>
        <w:t xml:space="preserve"> </w:t>
      </w:r>
    </w:p>
    <w:bookmarkEnd w:id="38"/>
    <w:bookmarkStart w:id="43" w:name="works-arising-from-this-thesis"/>
    <w:p>
      <w:pPr>
        <w:pStyle w:val="Heading1"/>
      </w:pPr>
      <w:r>
        <w:t xml:space="preserve">Works arising from this thesis</w:t>
      </w:r>
    </w:p>
    <w:bookmarkStart w:id="39"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39"/>
    <w:bookmarkStart w:id="40"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40"/>
    <w:bookmarkStart w:id="41"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41"/>
    <w:bookmarkStart w:id="42"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42"/>
    <w:bookmarkEnd w:id="43"/>
    <w:bookmarkStart w:id="44"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your kindness and for sharing your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4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VPL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r>
        <w:br/>
      </w:r>
    </w:p>
    <w:p>
      <w:pPr>
        <w:pStyle w:val="BodyText"/>
      </w:pPr>
      <w:r>
        <w:t xml:space="preserve">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r>
        <w:br/>
      </w:r>
    </w:p>
    <w:p>
      <w:pPr>
        <w:pStyle w:val="BodyText"/>
      </w:pPr>
      <w:r>
        <w:t xml:space="preserve">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r>
        <w:br/>
      </w:r>
    </w:p>
    <w:bookmarkStart w:id="45" w:name="abbreviations-and-nomenclature"/>
    <w:p>
      <w:pPr>
        <w:pStyle w:val="Heading1"/>
      </w:pPr>
      <w:r>
        <w:t xml:space="preserve">Abbreviations and nomenclature</w:t>
      </w:r>
    </w:p>
    <w:bookmarkEnd w:id="45"/>
    <w:bookmarkStart w:id="51" w:name="sec:intro"/>
    <w:p>
      <w:pPr>
        <w:pStyle w:val="Heading1"/>
      </w:pPr>
      <w:r>
        <w:rPr>
          <w:rStyle w:val="SectionNumber"/>
        </w:rPr>
        <w:t xml:space="preserve">3</w:t>
      </w:r>
      <w:r>
        <w:tab/>
      </w:r>
      <w:r>
        <w:t xml:space="preserve">Introduction</w:t>
      </w:r>
    </w:p>
    <w:bookmarkStart w:id="46"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46"/>
    <w:bookmarkStart w:id="47"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47"/>
    <w:bookmarkStart w:id="48"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48"/>
    <w:bookmarkStart w:id="49"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12).</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49"/>
    <w:bookmarkStart w:id="50"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r>
        <w:t xml:space="preserve"> </w:t>
      </w:r>
      <w:r>
        <w:rPr>
          <w:bCs/>
          <w:b/>
        </w:rPr>
        <w:t xml:space="preserve">Appendix 11</w:t>
      </w:r>
      <w:r>
        <w:t xml:space="preserve"> </w:t>
      </w:r>
      <w:r>
        <w:t xml:space="preserve">describes the methodology used to adjust modelled raw reductions in arbitrage revenue potential to better reflect those that would be seen by an energy storage resource optimising its rebids in the NEM.</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12</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50"/>
    <w:bookmarkEnd w:id="51"/>
    <w:bookmarkStart w:id="119" w:name="sec:lit_review"/>
    <w:p>
      <w:pPr>
        <w:pStyle w:val="Heading1"/>
      </w:pPr>
      <w:r>
        <w:rPr>
          <w:rStyle w:val="SectionNumber"/>
        </w:rPr>
        <w:t xml:space="preserve">4</w:t>
      </w:r>
      <w:r>
        <w:tab/>
      </w:r>
      <w:r>
        <w:t xml:space="preserve">Context and literature review</w:t>
      </w:r>
    </w:p>
    <w:bookmarkStart w:id="52"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52"/>
    <w:bookmarkStart w:id="58"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53"/>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55" name="Picture"/>
            <a:graphic>
              <a:graphicData uri="http://schemas.openxmlformats.org/drawingml/2006/picture">
                <pic:pic>
                  <pic:nvPicPr>
                    <pic:cNvPr descr="source/figures/electricity_supply_chain.pdf" id="56" name="Picture"/>
                    <pic:cNvPicPr>
                      <a:picLocks noChangeArrowheads="1" noChangeAspect="1"/>
                    </pic:cNvPicPr>
                  </pic:nvPicPr>
                  <pic:blipFill>
                    <a:blip r:embed="rId54"/>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57"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57"/>
    <w:bookmarkEnd w:id="58"/>
    <w:bookmarkStart w:id="87"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59"/>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61" name="Picture"/>
            <a:graphic>
              <a:graphicData uri="http://schemas.openxmlformats.org/drawingml/2006/picture">
                <pic:pic>
                  <pic:nvPicPr>
                    <pic:cNvPr descr="source/figures/power_system_timeframes.pdf"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63"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63"/>
    <w:bookmarkStart w:id="76"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72"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70"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64"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64"/>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65"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65"/>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67" name="Picture"/>
            <a:graphic>
              <a:graphicData uri="http://schemas.openxmlformats.org/drawingml/2006/picture">
                <pic:pic>
                  <pic:nvPicPr>
                    <pic:cNvPr descr="source/figures/swing.png" id="68" name="Picture"/>
                    <pic:cNvPicPr>
                      <a:picLocks noChangeArrowheads="1" noChangeAspect="1"/>
                    </pic:cNvPicPr>
                  </pic:nvPicPr>
                  <pic:blipFill>
                    <a:blip r:embed="rId66"/>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69"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69"/>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70"/>
    <w:bookmarkStart w:id="71"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71"/>
    <w:bookmarkEnd w:id="72"/>
    <w:bookmarkStart w:id="75"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73"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3"/>
    <w:bookmarkStart w:id="74"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4"/>
    <w:bookmarkEnd w:id="75"/>
    <w:bookmarkEnd w:id="76"/>
    <w:bookmarkStart w:id="86"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77"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77"/>
    <w:bookmarkStart w:id="85"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78"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78"/>
    <w:bookmarkStart w:id="83"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79"/>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81" name="Picture"/>
            <a:graphic>
              <a:graphicData uri="http://schemas.openxmlformats.org/drawingml/2006/picture">
                <pic:pic>
                  <pic:nvPicPr>
                    <pic:cNvPr descr="source/figures/market_models.pdf" id="82"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83"/>
    <w:bookmarkStart w:id="84"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84"/>
    <w:bookmarkEnd w:id="85"/>
    <w:bookmarkEnd w:id="86"/>
    <w:bookmarkEnd w:id="87"/>
    <w:bookmarkStart w:id="106"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99"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Chapter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89" name="Picture"/>
            <a:graphic>
              <a:graphicData uri="http://schemas.openxmlformats.org/drawingml/2006/picture">
                <pic:pic>
                  <pic:nvPicPr>
                    <pic:cNvPr descr="source/figures/freq_control_timeframes.png" id="90" name="Picture"/>
                    <pic:cNvPicPr>
                      <a:picLocks noChangeArrowheads="1" noChangeAspect="1"/>
                    </pic:cNvPicPr>
                  </pic:nvPicPr>
                  <pic:blipFill>
                    <a:blip r:embed="rId88"/>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91"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91"/>
    <w:bookmarkStart w:id="92"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92"/>
    <w:bookmarkStart w:id="93"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93"/>
    <w:bookmarkStart w:id="97"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95" name="Picture"/>
            <a:graphic>
              <a:graphicData uri="http://schemas.openxmlformats.org/drawingml/2006/picture">
                <pic:pic>
                  <pic:nvPicPr>
                    <pic:cNvPr descr="source/figures/droop.png" id="96" name="Picture"/>
                    <pic:cNvPicPr>
                      <a:picLocks noChangeArrowheads="1" noChangeAspect="1"/>
                    </pic:cNvPicPr>
                  </pic:nvPicPr>
                  <pic:blipFill>
                    <a:blip r:embed="rId94"/>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97"/>
    <w:bookmarkStart w:id="98"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98"/>
    <w:bookmarkEnd w:id="99"/>
    <w:bookmarkStart w:id="105"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102"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100"/>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101"/>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102"/>
    <w:bookmarkStart w:id="103"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103"/>
    <w:bookmarkStart w:id="104"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104"/>
    <w:bookmarkEnd w:id="105"/>
    <w:bookmarkEnd w:id="106"/>
    <w:bookmarkStart w:id="117"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107"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107"/>
    <w:bookmarkStart w:id="116" w:name="sec:lit_review-design_challenges"/>
    <w:p>
      <w:pPr>
        <w:pStyle w:val="Heading3"/>
      </w:pPr>
      <w:r>
        <w:rPr>
          <w:rStyle w:val="SectionNumber"/>
        </w:rPr>
        <w:t xml:space="preserve">4.5.2</w:t>
      </w:r>
      <w:r>
        <w:tab/>
      </w:r>
      <w:r>
        <w:t xml:space="preserve">Existing and emerging challenges in the design process</w:t>
      </w:r>
    </w:p>
    <w:bookmarkStart w:id="108"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108"/>
    <w:bookmarkStart w:id="109"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109"/>
    <w:bookmarkStart w:id="112"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110"/>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111"/>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Chapter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112"/>
    <w:bookmarkStart w:id="113"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113"/>
    <w:bookmarkStart w:id="114"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114"/>
    <w:bookmarkStart w:id="115"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115"/>
    <w:bookmarkEnd w:id="116"/>
    <w:bookmarkEnd w:id="117"/>
    <w:bookmarkStart w:id="118"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18"/>
    <w:bookmarkEnd w:id="119"/>
    <w:bookmarkStart w:id="13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21" name="Picture"/>
            <a:graphic>
              <a:graphicData uri="http://schemas.openxmlformats.org/drawingml/2006/picture">
                <pic:pic>
                  <pic:nvPicPr>
                    <pic:cNvPr descr="source/figures/research_framework.pdf" id="122"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3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23"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23"/>
    <w:bookmarkStart w:id="124"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24"/>
    <w:bookmarkStart w:id="125"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25"/>
    <w:bookmarkStart w:id="129"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26"/>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2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2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29"/>
    <w:bookmarkEnd w:id="130"/>
    <w:bookmarkStart w:id="13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31"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31"/>
    <w:bookmarkStart w:id="13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2"/>
    <w:bookmarkStart w:id="13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3"/>
    <w:bookmarkEnd w:id="134"/>
    <w:bookmarkEnd w:id="135"/>
    <w:bookmarkStart w:id="192" w:name="sec:fcs"/>
    <w:p>
      <w:pPr>
        <w:pStyle w:val="Heading1"/>
      </w:pPr>
      <w:r>
        <w:rPr>
          <w:rStyle w:val="SectionNumber"/>
        </w:rPr>
        <w:t xml:space="preserve">6</w:t>
      </w:r>
      <w:r>
        <w:tab/>
      </w:r>
      <w:r>
        <w:t xml:space="preserve">Frequency control arrangements: insights from the National Electricity Market</w:t>
      </w:r>
    </w:p>
    <w:bookmarkStart w:id="13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36"/>
    <w:bookmarkStart w:id="13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37"/>
    <w:bookmarkStart w:id="13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9"/>
    <w:bookmarkStart w:id="149" w:name="sec:fcs-context"/>
    <w:p>
      <w:pPr>
        <w:pStyle w:val="Heading2"/>
      </w:pPr>
      <w:r>
        <w:rPr>
          <w:rStyle w:val="SectionNumber"/>
        </w:rPr>
        <w:t xml:space="preserve">6.4</w:t>
      </w:r>
      <w:r>
        <w:tab/>
      </w:r>
      <w:r>
        <w:t xml:space="preserve">Context</w:t>
      </w:r>
    </w:p>
    <w:bookmarkStart w:id="14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40"/>
    <w:bookmarkStart w:id="14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4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4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42"/>
    <w:bookmarkStart w:id="14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43"/>
    <w:bookmarkEnd w:id="144"/>
    <w:bookmarkStart w:id="14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4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46"/>
    <w:bookmarkStart w:id="14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7"/>
    <w:bookmarkEnd w:id="148"/>
    <w:bookmarkEnd w:id="149"/>
    <w:bookmarkStart w:id="167" w:name="sec:fcs-nem"/>
    <w:p>
      <w:pPr>
        <w:pStyle w:val="Heading2"/>
      </w:pPr>
      <w:r>
        <w:rPr>
          <w:rStyle w:val="SectionNumber"/>
        </w:rPr>
        <w:t xml:space="preserve">6.5</w:t>
      </w:r>
      <w:r>
        <w:tab/>
      </w:r>
      <w:r>
        <w:t xml:space="preserve">Frequency control arrangements in the Australian National Electricity Market</w:t>
      </w:r>
    </w:p>
    <w:bookmarkStart w:id="15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51" name="Picture"/>
            <a:graphic>
              <a:graphicData uri="http://schemas.openxmlformats.org/drawingml/2006/picture">
                <pic:pic>
                  <pic:nvPicPr>
                    <pic:cNvPr descr="source/figures/NEM.png" id="152" name="Picture"/>
                    <pic:cNvPicPr>
                      <a:picLocks noChangeArrowheads="1" noChangeAspect="1"/>
                    </pic:cNvPicPr>
                  </pic:nvPicPr>
                  <pic:blipFill>
                    <a:blip r:embed="rId15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53"/>
    <w:bookmarkStart w:id="15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5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55" w:name="tbl:fcs-fcas"/>
      <w:bookmarkEnd w:id="15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56"/>
    <w:bookmarkStart w:id="15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57"/>
    <w:bookmarkStart w:id="16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9" name="Picture"/>
            <a:graphic>
              <a:graphicData uri="http://schemas.openxmlformats.org/drawingml/2006/picture">
                <pic:pic>
                  <pic:nvPicPr>
                    <pic:cNvPr descr="source/figures/synchronous_ibr_entry_exit.eps" id="160" name="Picture"/>
                    <pic:cNvPicPr>
                      <a:picLocks noChangeArrowheads="1" noChangeAspect="1"/>
                    </pic:cNvPicPr>
                  </pic:nvPicPr>
                  <pic:blipFill>
                    <a:blip r:embed="rId15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61"/>
    <w:bookmarkStart w:id="16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62"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62"/>
    <w:bookmarkStart w:id="163"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63"/>
    <w:bookmarkStart w:id="165"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6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65"/>
    <w:bookmarkEnd w:id="166"/>
    <w:bookmarkEnd w:id="167"/>
    <w:bookmarkStart w:id="19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7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70" name="Picture"/>
            <a:graphic>
              <a:graphicData uri="http://schemas.openxmlformats.org/drawingml/2006/picture">
                <pic:pic>
                  <pic:nvPicPr>
                    <pic:cNvPr descr="source/figures/all_responses_25082018.eps" id="171" name="Picture"/>
                    <pic:cNvPicPr>
                      <a:picLocks noChangeArrowheads="1" noChangeAspect="1"/>
                    </pic:cNvPicPr>
                  </pic:nvPicPr>
                  <pic:blipFill>
                    <a:blip r:embed="rId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72"/>
    <w:bookmarkStart w:id="17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74" name="Picture"/>
            <a:graphic>
              <a:graphicData uri="http://schemas.openxmlformats.org/drawingml/2006/picture">
                <pic:pic>
                  <pic:nvPicPr>
                    <pic:cNvPr descr="source/figures/regional_SCADA_frequencies.eps" id="175" name="Picture"/>
                    <pic:cNvPicPr>
                      <a:picLocks noChangeArrowheads="1" noChangeAspect="1"/>
                    </pic:cNvPicPr>
                  </pic:nvPicPr>
                  <pic:blipFill>
                    <a:blip r:embed="rId1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76"/>
    <w:bookmarkStart w:id="18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8" name="Picture"/>
            <a:graphic>
              <a:graphicData uri="http://schemas.openxmlformats.org/drawingml/2006/picture">
                <pic:pic>
                  <pic:nvPicPr>
                    <pic:cNvPr descr="source/figures/energy_raise_fcas_vwap_quarterly_2014_2020_v2.png" id="179" name="Picture"/>
                    <pic:cNvPicPr>
                      <a:picLocks noChangeArrowheads="1" noChangeAspect="1"/>
                    </pic:cNvPicPr>
                  </pic:nvPicPr>
                  <pic:blipFill>
                    <a:blip r:embed="rId1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81" name="Picture"/>
            <a:graphic>
              <a:graphicData uri="http://schemas.openxmlformats.org/drawingml/2006/picture">
                <pic:pic>
                  <pic:nvPicPr>
                    <pic:cNvPr descr="source/figures/nem_nofb_frequency_2005_2018_digitised.eps" id="182" name="Picture"/>
                    <pic:cNvPicPr>
                      <a:picLocks noChangeArrowheads="1" noChangeAspect="1"/>
                    </pic:cNvPicPr>
                  </pic:nvPicPr>
                  <pic:blipFill>
                    <a:blip r:embed="rId1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8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85" name="Picture"/>
            <a:graphic>
              <a:graphicData uri="http://schemas.openxmlformats.org/drawingml/2006/picture">
                <pic:pic>
                  <pic:nvPicPr>
                    <pic:cNvPr descr="source/figures/f_stddev_2009_2021.png" id="186" name="Picture"/>
                    <pic:cNvPicPr>
                      <a:picLocks noChangeArrowheads="1" noChangeAspect="1"/>
                    </pic:cNvPicPr>
                  </pic:nvPicPr>
                  <pic:blipFill>
                    <a:blip r:embed="rId1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87"/>
    <w:bookmarkStart w:id="18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8"/>
    <w:bookmarkStart w:id="18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9"/>
    <w:bookmarkEnd w:id="190"/>
    <w:bookmarkStart w:id="19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91"/>
    <w:bookmarkEnd w:id="192"/>
    <w:bookmarkStart w:id="272" w:name="sec:reserves"/>
    <w:p>
      <w:pPr>
        <w:pStyle w:val="Heading1"/>
      </w:pPr>
      <w:r>
        <w:rPr>
          <w:rStyle w:val="SectionNumber"/>
        </w:rPr>
        <w:t xml:space="preserve">7</w:t>
      </w:r>
      <w:r>
        <w:tab/>
      </w:r>
      <w:r>
        <w:t xml:space="preserve">Quantifying reserve capabilities: an Australian case study with increasing penetrations of renewables</w:t>
      </w:r>
    </w:p>
    <w:bookmarkStart w:id="19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93"/>
    <w:bookmarkStart w:id="19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94"/>
    <w:bookmarkStart w:id="19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95"/>
    <w:bookmarkStart w:id="20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200" w:name="market-design"/>
    <w:p>
      <w:pPr>
        <w:pStyle w:val="Heading3"/>
      </w:pPr>
      <w:r>
        <w:rPr>
          <w:rStyle w:val="SectionNumber"/>
        </w:rPr>
        <w:t xml:space="preserve">7.4.1</w:t>
      </w:r>
      <w:r>
        <w:tab/>
      </w:r>
      <w:r>
        <w:t xml:space="preserve">Market design</w:t>
      </w:r>
    </w:p>
    <w:bookmarkStart w:id="19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9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97"/>
    <w:bookmarkStart w:id="19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8"/>
    <w:bookmarkStart w:id="19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9"/>
    <w:bookmarkEnd w:id="200"/>
    <w:bookmarkStart w:id="20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20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202"/>
    <w:bookmarkStart w:id="20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204" name="Picture"/>
            <a:graphic>
              <a:graphicData uri="http://schemas.openxmlformats.org/drawingml/2006/picture">
                <pic:pic>
                  <pic:nvPicPr>
                    <pic:cNvPr descr="source/figures/raise5minq42020.png" id="205" name="Picture"/>
                    <pic:cNvPicPr>
                      <a:picLocks noChangeArrowheads="1" noChangeAspect="1"/>
                    </pic:cNvPicPr>
                  </pic:nvPicPr>
                  <pic:blipFill>
                    <a:blip r:embed="rId20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20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206"/>
    <w:bookmarkEnd w:id="207"/>
    <w:bookmarkEnd w:id="208"/>
    <w:bookmarkStart w:id="22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14" w:name="sec:reserves-nomenclature"/>
    <w:p>
      <w:pPr>
        <w:pStyle w:val="Heading4"/>
      </w:pPr>
      <w:r>
        <w:rPr>
          <w:rStyle w:val="SectionNumber"/>
        </w:rPr>
        <w:t xml:space="preserve">7.5.1.1</w:t>
      </w:r>
      <w:r>
        <w:tab/>
      </w:r>
      <w:r>
        <w:t xml:space="preserve">Nomenclature</w:t>
      </w:r>
    </w:p>
    <w:bookmarkStart w:id="210" w:name="indices-and-sets"/>
    <w:p>
      <w:pPr>
        <w:pStyle w:val="Heading5"/>
      </w:pPr>
      <w:r>
        <w:rPr>
          <w:rStyle w:val="SectionNumber"/>
        </w:rPr>
        <w:t xml:space="preserve">7.5.1.1.1</w:t>
      </w:r>
      <w:r>
        <w:tab/>
      </w:r>
      <w:r>
        <w:t xml:space="preserve">Indices and sets</w:t>
      </w:r>
    </w:p>
    <w:bookmarkEnd w:id="210"/>
    <w:bookmarkStart w:id="211" w:name="time-varying-resource-parameters"/>
    <w:p>
      <w:pPr>
        <w:pStyle w:val="Heading5"/>
      </w:pPr>
      <w:r>
        <w:rPr>
          <w:rStyle w:val="SectionNumber"/>
        </w:rPr>
        <w:t xml:space="preserve">7.5.1.1.2</w:t>
      </w:r>
      <w:r>
        <w:tab/>
      </w:r>
      <w:r>
        <w:t xml:space="preserve">Time-varying resource parameters</w:t>
      </w:r>
    </w:p>
    <w:bookmarkEnd w:id="211"/>
    <w:bookmarkStart w:id="212" w:name="static-resource-parameters"/>
    <w:p>
      <w:pPr>
        <w:pStyle w:val="Heading5"/>
      </w:pPr>
      <w:r>
        <w:rPr>
          <w:rStyle w:val="SectionNumber"/>
        </w:rPr>
        <w:t xml:space="preserve">7.5.1.1.3</w:t>
      </w:r>
      <w:r>
        <w:tab/>
      </w:r>
      <w:r>
        <w:t xml:space="preserve">Static resource parameters</w:t>
      </w:r>
    </w:p>
    <w:bookmarkEnd w:id="212"/>
    <w:bookmarkStart w:id="213" w:name="computed-quantities"/>
    <w:p>
      <w:pPr>
        <w:pStyle w:val="Heading5"/>
      </w:pPr>
      <w:r>
        <w:rPr>
          <w:rStyle w:val="SectionNumber"/>
        </w:rPr>
        <w:t xml:space="preserve">7.5.1.1.4</w:t>
      </w:r>
      <w:r>
        <w:tab/>
      </w:r>
      <w:r>
        <w:t xml:space="preserve">Computed quantities</w:t>
      </w:r>
    </w:p>
    <w:bookmarkEnd w:id="213"/>
    <w:bookmarkEnd w:id="214"/>
    <w:bookmarkStart w:id="21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1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15"/>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1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1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1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17"/>
    </w:p>
    <w:bookmarkEnd w:id="218"/>
    <w:bookmarkStart w:id="22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9"/>
    </w:p>
    <w:p>
      <w:pPr>
        <w:pStyle w:val="FirstParagraph"/>
      </w:pPr>
      <w:bookmarkStart w:id="22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2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21"/>
    <w:bookmarkStart w:id="22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2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22"/>
    </w:p>
    <w:p>
      <w:pPr>
        <w:pStyle w:val="FirstParagraph"/>
      </w:pPr>
      <w:bookmarkStart w:id="22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23"/>
    </w:p>
    <w:bookmarkEnd w:id="224"/>
    <w:bookmarkStart w:id="22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2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25"/>
    </w:p>
    <w:p>
      <w:pPr>
        <w:pStyle w:val="FirstParagraph"/>
      </w:pPr>
      <w:bookmarkStart w:id="22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2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27"/>
    <w:bookmarkEnd w:id="228"/>
    <w:bookmarkEnd w:id="229"/>
    <w:bookmarkStart w:id="270" w:name="sec:reserves-casestudy"/>
    <w:p>
      <w:pPr>
        <w:pStyle w:val="Heading2"/>
      </w:pPr>
      <w:r>
        <w:rPr>
          <w:rStyle w:val="SectionNumber"/>
        </w:rPr>
        <w:t xml:space="preserve">7.6</w:t>
      </w:r>
      <w:r>
        <w:tab/>
      </w:r>
      <w:r>
        <w:t xml:space="preserve">Case study: two regions in the National Electricity Market</w:t>
      </w:r>
    </w:p>
    <w:bookmarkStart w:id="24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3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3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31"/>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35" w:name="fig:nsw_capacities"/>
            <w:r>
              <w:drawing>
                <wp:inline>
                  <wp:extent cx="2667000" cy="1352397"/>
                  <wp:effectExtent b="0" l="0" r="0" t="0"/>
                  <wp:docPr descr="a" title="" id="233" name="Picture"/>
                  <a:graphic>
                    <a:graphicData uri="http://schemas.openxmlformats.org/drawingml/2006/picture">
                      <pic:pic>
                        <pic:nvPicPr>
                          <pic:cNvPr descr="source/figures/nsw_capacities.png" id="234" name="Picture"/>
                          <pic:cNvPicPr>
                            <a:picLocks noChangeArrowheads="1" noChangeAspect="1"/>
                          </pic:cNvPicPr>
                        </pic:nvPicPr>
                        <pic:blipFill>
                          <a:blip r:embed="rId232"/>
                          <a:stretch>
                            <a:fillRect/>
                          </a:stretch>
                        </pic:blipFill>
                        <pic:spPr bwMode="auto">
                          <a:xfrm>
                            <a:off x="0" y="0"/>
                            <a:ext cx="2667000" cy="1352397"/>
                          </a:xfrm>
                          <a:prstGeom prst="rect">
                            <a:avLst/>
                          </a:prstGeom>
                          <a:noFill/>
                          <a:ln w="9525">
                            <a:noFill/>
                            <a:headEnd/>
                            <a:tailEnd/>
                          </a:ln>
                        </pic:spPr>
                      </pic:pic>
                    </a:graphicData>
                  </a:graphic>
                </wp:inline>
              </w:drawing>
            </w:r>
            <w:bookmarkEnd w:id="235"/>
          </w:p>
        </w:tc>
        <w:tc>
          <w:tcPr/>
          <w:p>
            <w:pPr>
              <w:jc w:val="center"/>
            </w:pPr>
            <w:bookmarkStart w:id="239" w:name="fig:sa_capacities"/>
            <w:r>
              <w:drawing>
                <wp:inline>
                  <wp:extent cx="2667000" cy="1352397"/>
                  <wp:effectExtent b="0" l="0" r="0" t="0"/>
                  <wp:docPr descr="b" title="" id="237" name="Picture"/>
                  <a:graphic>
                    <a:graphicData uri="http://schemas.openxmlformats.org/drawingml/2006/picture">
                      <pic:pic>
                        <pic:nvPicPr>
                          <pic:cNvPr descr="source/figures/sa_capacities.png" id="238" name="Picture"/>
                          <pic:cNvPicPr>
                            <a:picLocks noChangeArrowheads="1" noChangeAspect="1"/>
                          </pic:cNvPicPr>
                        </pic:nvPicPr>
                        <pic:blipFill>
                          <a:blip r:embed="rId236"/>
                          <a:stretch>
                            <a:fillRect/>
                          </a:stretch>
                        </pic:blipFill>
                        <pic:spPr bwMode="auto">
                          <a:xfrm>
                            <a:off x="0" y="0"/>
                            <a:ext cx="2667000" cy="1352397"/>
                          </a:xfrm>
                          <a:prstGeom prst="rect">
                            <a:avLst/>
                          </a:prstGeom>
                          <a:noFill/>
                          <a:ln w="9525">
                            <a:noFill/>
                            <a:headEnd/>
                            <a:tailEnd/>
                          </a:ln>
                        </pic:spPr>
                      </pic:pic>
                    </a:graphicData>
                  </a:graphic>
                </wp:inline>
              </w:drawing>
            </w:r>
            <w:bookmarkEnd w:id="23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40"/>
    <w:bookmarkStart w:id="24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4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43" name="Picture"/>
            <a:graphic>
              <a:graphicData uri="http://schemas.openxmlformats.org/drawingml/2006/picture">
                <pic:pic>
                  <pic:nvPicPr>
                    <pic:cNvPr descr="source/figures/modelling_diagram.png" id="244" name="Picture"/>
                    <pic:cNvPicPr>
                      <a:picLocks noChangeArrowheads="1" noChangeAspect="1"/>
                    </pic:cNvPicPr>
                  </pic:nvPicPr>
                  <pic:blipFill>
                    <a:blip r:embed="rId24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45"/>
    <w:bookmarkStart w:id="24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4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4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8"/>
    <w:bookmarkStart w:id="267" w:name="sec:reserves-results"/>
    <w:p>
      <w:pPr>
        <w:pStyle w:val="Heading3"/>
      </w:pPr>
      <w:r>
        <w:rPr>
          <w:rStyle w:val="SectionNumber"/>
        </w:rPr>
        <w:t xml:space="preserve">7.6.4</w:t>
      </w:r>
      <w:r>
        <w:tab/>
      </w:r>
      <w:r>
        <w:t xml:space="preserve">Results and discussion</w:t>
      </w:r>
    </w:p>
    <w:bookmarkStart w:id="25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50"/>
    <w:bookmarkStart w:id="25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52" name="Picture"/>
            <a:graphic>
              <a:graphicData uri="http://schemas.openxmlformats.org/drawingml/2006/picture">
                <pic:pic>
                  <pic:nvPicPr>
                    <pic:cNvPr descr="./source/figures/NSW_reserves_all_profiles_by_di.png" id="253" name="Picture"/>
                    <pic:cNvPicPr>
                      <a:picLocks noChangeArrowheads="1" noChangeAspect="1"/>
                    </pic:cNvPicPr>
                  </pic:nvPicPr>
                  <pic:blipFill>
                    <a:blip r:embed="rId25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55" name="Picture"/>
            <a:graphic>
              <a:graphicData uri="http://schemas.openxmlformats.org/drawingml/2006/picture">
                <pic:pic>
                  <pic:nvPicPr>
                    <pic:cNvPr descr="./source/figures/SA_reserves_all_profiles_by_di.png" id="256" name="Picture"/>
                    <pic:cNvPicPr>
                      <a:picLocks noChangeArrowheads="1" noChangeAspect="1"/>
                    </pic:cNvPicPr>
                  </pic:nvPicPr>
                  <pic:blipFill>
                    <a:blip r:embed="rId25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57"/>
    <w:bookmarkStart w:id="26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9" name="Picture"/>
            <a:graphic>
              <a:graphicData uri="http://schemas.openxmlformats.org/drawingml/2006/picture">
                <pic:pic>
                  <pic:nvPicPr>
                    <pic:cNvPr descr="./source/figures/NSW_firmfootroom_all_profiles_by_di.png" id="260" name="Picture"/>
                    <pic:cNvPicPr>
                      <a:picLocks noChangeArrowheads="1" noChangeAspect="1"/>
                    </pic:cNvPicPr>
                  </pic:nvPicPr>
                  <pic:blipFill>
                    <a:blip r:embed="rId25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62" name="Picture"/>
            <a:graphic>
              <a:graphicData uri="http://schemas.openxmlformats.org/drawingml/2006/picture">
                <pic:pic>
                  <pic:nvPicPr>
                    <pic:cNvPr descr="./source/figures/NSW_footroom_all_profiles_by_di.png" id="263" name="Picture"/>
                    <pic:cNvPicPr>
                      <a:picLocks noChangeArrowheads="1" noChangeAspect="1"/>
                    </pic:cNvPicPr>
                  </pic:nvPicPr>
                  <pic:blipFill>
                    <a:blip r:embed="rId2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64"/>
    <w:bookmarkStart w:id="26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6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66"/>
    <w:bookmarkEnd w:id="267"/>
    <w:bookmarkStart w:id="26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9"/>
    <w:bookmarkEnd w:id="270"/>
    <w:bookmarkStart w:id="27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71"/>
    <w:bookmarkEnd w:id="272"/>
    <w:bookmarkStart w:id="343" w:name="sec:info"/>
    <w:p>
      <w:pPr>
        <w:pStyle w:val="Heading1"/>
      </w:pPr>
      <w:r>
        <w:rPr>
          <w:rStyle w:val="SectionNumber"/>
        </w:rPr>
        <w:t xml:space="preserve">8</w:t>
      </w:r>
      <w:r>
        <w:tab/>
      </w:r>
      <w:r>
        <w:t xml:space="preserve">The scheduling role of future pricing information in electricity markets with rising deployments of energy storage: a National Electricity Market case study</w:t>
      </w:r>
    </w:p>
    <w:bookmarkStart w:id="27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273"/>
    <w:bookmarkStart w:id="27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swings that can hamper effective scheduling.</w:t>
      </w:r>
    </w:p>
    <w:bookmarkEnd w:id="274"/>
    <w:bookmarkStart w:id="27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know their resources’</w:t>
      </w:r>
      <w:r>
        <w:t xml:space="preserve"> </w:t>
      </w:r>
      <w:r>
        <w:rPr>
          <w:iCs/>
          <w:i/>
        </w:rPr>
        <w:t xml:space="preserve">true</w:t>
      </w:r>
      <w:r>
        <w:t xml:space="preserve"> </w:t>
      </w:r>
      <w:r>
        <w:t xml:space="preserve">status, operational constraints and cost structures. Thus system operators, which are typically no longer vertically-integrated, may have limited visibility of system resources. Secondly, decision-making has become more decentralised, with market participants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75"/>
      </w:r>
      <w:r>
        <w:t xml:space="preserve">. Thirdly, and most pertinent to this work, resource scheduling decisions are no longer solely made by the system operator based on system conditions; instead, market participants’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market participant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market participants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fd68a9355e2c910455f81d938b1336912327fa1">
        <w:r>
          <w:rPr>
            <w:rStyle w:val="Hyperlink"/>
          </w:rPr>
          <w:t xml:space="preserve">Creative Energy Consulting,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7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market participants or their information consultants) or centralised for the purpose of disseminating consistent public information (e.g. those run by a public meteorological service or the system operator)</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market participants must schedule charging, which replenishes the stored energy necessary to provide more lucrative raise/upwards market products and services, during periods of low (or negative) energy prices</w:t>
      </w:r>
      <w:r>
        <w:rPr>
          <w:rStyle w:val="FootnoteReference"/>
        </w:rPr>
        <w:footnoteReference w:id="27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swings can occur suddenly. We subsequently examine market participant (re)bidding data and suggest that these phenomena could be partially explained by both the greater number of flexible resources with automated bidding capabilities and a NEM market participant’s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4 hours), the length of the forecast lookahead (i.e. how far the scheduler looks into the future) and different objective functions (i.e. how the scheduler interprets arbitrage opportunities). Our results show that using these price forecasts to schedule BESSs can materially reduce arbitrage revenue from what would be achievable with perfect foresight. Thirdly, we discuss market participant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system operator-produced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market participant scheduling, centralised knowledge processes and market design that could maximise the balancing value of resources in Section 6.6. We conclude by highlighting pertinent findings and recommendations to policy-makers in Section 6.7.</w:t>
      </w:r>
    </w:p>
    <w:bookmarkEnd w:id="279"/>
    <w:bookmarkStart w:id="297" w:name="sec:info-context"/>
    <w:p>
      <w:pPr>
        <w:pStyle w:val="Heading2"/>
      </w:pPr>
      <w:r>
        <w:rPr>
          <w:rStyle w:val="SectionNumber"/>
        </w:rPr>
        <w:t xml:space="preserve">8.4</w:t>
      </w:r>
      <w:r>
        <w:tab/>
      </w:r>
      <w:r>
        <w:t xml:space="preserve">Context</w:t>
      </w:r>
    </w:p>
    <w:bookmarkStart w:id="28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market participants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 and the centralised knowledge processes that are integral to the NEM’s operation.</w:t>
      </w:r>
    </w:p>
    <w:bookmarkStart w:id="28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8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market participants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market participants must submit resource-specific bids (for loads) and offers (for generation)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market participants submitting a single set of price bands for the entirety of the next trading day and a set of quantities for each dispatch interval in the next trading day</w:t>
      </w:r>
      <w:r>
        <w:rPr>
          <w:rStyle w:val="FootnoteReference"/>
        </w:rPr>
        <w:footnoteReference w:id="281"/>
      </w:r>
      <w:r>
        <w:t xml:space="preserve">. Market participants must also submit technical parameters for their resources, including resource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market participants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market participants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82"/>
      </w:r>
      <w:r>
        <w:t xml:space="preserve"> </w:t>
      </w:r>
      <w:r>
        <w:t xml:space="preserve">and since the NEM has no formal gate closure, market participants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83"/>
    <w:bookmarkStart w:id="28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day-ahead or intraday markets that impose physical and/or financial obligations on market participants, AEMO is responsible for running ahead-of-delivery knowledge processes that assess system reliability and generate information to assist participants in making decisions in the market.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market participants scheduling resources. Pre-dispatch processes, on the other hand, use the latest set of market participant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8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market participants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market participants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market participant to commit or reschedule their resources through inframarginal rebids, but doing so could then depress the price in the next pre-dispatch run. This may, in turn, drive the same or other market participants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fd68a9355e2c910455f81d938b1336912327fa1">
        <w:r>
          <w:rPr>
            <w:rStyle w:val="Hyperlink"/>
          </w:rPr>
          <w:t xml:space="preserve">Creative Energy Consulting,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market participant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85"/>
    <w:bookmarkEnd w:id="286"/>
    <w:bookmarkStart w:id="29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9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87"/>
      </w:r>
      <w:r>
        <w:t xml:space="preserve"> </w:t>
      </w:r>
      <w:r>
        <w:t xml:space="preserve">and thus the degree of assistance they provide in balancing the system.</w:t>
      </w:r>
    </w:p>
    <w:bookmarkStart w:id="28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ESR investment cases typically rely on</w:t>
      </w:r>
      <w:r>
        <w:t xml:space="preserve"> </w:t>
      </w:r>
      <w:r>
        <w:t xml:space="preserve">“</w:t>
      </w:r>
      <w:r>
        <w:t xml:space="preserve">value-stacking</w:t>
      </w:r>
      <w:r>
        <w:t xml:space="preserve">”</w:t>
      </w:r>
      <w:r>
        <w:t xml:space="preserve"> </w:t>
      </w:r>
      <w:r>
        <w:t xml:space="preserve">several of these services, constraints of a technical, organisational and/or regulatory nature mean that ESR scheduling in operational timeframes often involves trade-offs between the services the resource can provide simultaneously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market participants and system needs in operational timeframes. A particularly important line of work in this area has studied the impact of conflicting market participant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market participants can use ESRs strategically (i.e. to maximise portfolio profits) to the detriment of the system and social welfare.</w:t>
      </w:r>
    </w:p>
    <w:bookmarkEnd w:id="288"/>
    <w:bookmarkStart w:id="28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Yurdakul and Billimoria (</w:t>
      </w:r>
      <w:hyperlink w:anchor="X56c308236ff3023b92d43875cdb1bf5730f8e65">
        <w:r>
          <w:rPr>
            <w:rStyle w:val="Hyperlink"/>
          </w:rPr>
          <w:t xml:space="preserve">2023a</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89"/>
    <w:bookmarkStart w:id="29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Yurdakul and Billimoria, 2023a</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Yurdakul and Billimoria (</w:t>
      </w:r>
      <w:hyperlink w:anchor="Xcee4068c5eb8f2922bd92e71ffc9bc382fd51ab">
        <w:r>
          <w:rPr>
            <w:rStyle w:val="Hyperlink"/>
          </w:rPr>
          <w:t xml:space="preserve">2023b</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market participants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market participant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90"/>
    <w:bookmarkEnd w:id="291"/>
    <w:bookmarkEnd w:id="292"/>
    <w:bookmarkStart w:id="29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system operator’s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94" name="Picture"/>
            <a:graphic>
              <a:graphicData uri="http://schemas.openxmlformats.org/drawingml/2006/picture">
                <pic:pic>
                  <pic:nvPicPr>
                    <pic:cNvPr descr="source/figures/historical_daily_price_spreads.pdf" id="295" name="Picture"/>
                    <pic:cNvPicPr>
                      <a:picLocks noChangeArrowheads="1" noChangeAspect="1"/>
                    </pic:cNvPicPr>
                  </pic:nvPicPr>
                  <pic:blipFill>
                    <a:blip r:embed="rId29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39" w:name="sec:info-case_study"/>
    <w:p>
      <w:pPr>
        <w:pStyle w:val="Heading2"/>
      </w:pPr>
      <w:r>
        <w:rPr>
          <w:rStyle w:val="SectionNumber"/>
        </w:rPr>
        <w:t xml:space="preserve">8.5</w:t>
      </w:r>
      <w:r>
        <w:tab/>
      </w:r>
      <w:r>
        <w:t xml:space="preserve">Pre-dispatch and its impact on storage scheduling in the National Electricity Market</w:t>
      </w:r>
    </w:p>
    <w:bookmarkStart w:id="313"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9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market participants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market participants because they may lead to missed opportunities or, if market participants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300" name="Picture"/>
            <a:graphic>
              <a:graphicData uri="http://schemas.openxmlformats.org/drawingml/2006/picture">
                <pic:pic>
                  <pic:nvPicPr>
                    <pic:cNvPr descr="source/figures/price_errors_nemwide_2012_2021.pdf" id="301" name="Picture"/>
                    <pic:cNvPicPr>
                      <a:picLocks noChangeArrowheads="1" noChangeAspect="1"/>
                    </pic:cNvPicPr>
                  </pic:nvPicPr>
                  <pic:blipFill>
                    <a:blip r:embed="rId29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since AEMO uses telemetered operational data in their renewable energy forecasting systems and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t>
      </w:r>
      <w:hyperlink w:anchor="Xe10587e2532b6c233e35893f829b3dc611cc069">
        <w:r>
          <w:rPr>
            <w:rStyle w:val="Hyperlink"/>
          </w:rPr>
          <w:t xml:space="preserve">2016</w:t>
        </w:r>
      </w:hyperlink>
      <w:r>
        <w:t xml:space="preserve">;</w:t>
      </w:r>
      <w:r>
        <w:t xml:space="preserve"> </w:t>
      </w:r>
      <w:hyperlink w:anchor="ref-prakashSubmissionSemiScheduled2020">
        <w:r>
          <w:rPr>
            <w:rStyle w:val="Hyperlink"/>
          </w:rPr>
          <w:t xml:space="preserve">Prakash et al., 2020</w:t>
        </w:r>
      </w:hyperlink>
      <w:r>
        <w:t xml:space="preserve">)</w:t>
      </w:r>
      <w:r>
        <w:t xml:space="preserve">, we conjecture that market participant rebidding is a major contributing factor to the large price swings in Figure 24. In the next section, we analyse trends in market participant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303" name="Picture"/>
            <a:graphic>
              <a:graphicData uri="http://schemas.openxmlformats.org/drawingml/2006/picture">
                <pic:pic>
                  <pic:nvPicPr>
                    <pic:cNvPr descr="source/figures/NSW_demand_price_forecast_errors_300ahead_2021.pdf" id="304" name="Picture"/>
                    <pic:cNvPicPr>
                      <a:picLocks noChangeArrowheads="1" noChangeAspect="1"/>
                    </pic:cNvPicPr>
                  </pic:nvPicPr>
                  <pic:blipFill>
                    <a:blip r:embed="rId30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12"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306" name="Picture"/>
            <a:graphic>
              <a:graphicData uri="http://schemas.openxmlformats.org/drawingml/2006/picture">
                <pic:pic>
                  <pic:nvPicPr>
                    <pic:cNvPr descr="source/figures/monthly_bidding_data_size_2012_2023.pdf" id="307" name="Picture"/>
                    <pic:cNvPicPr>
                      <a:picLocks noChangeArrowheads="1" noChangeAspect="1"/>
                    </pic:cNvPicPr>
                  </pic:nvPicPr>
                  <pic:blipFill>
                    <a:blip r:embed="rId30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30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66 wind farms and 52 open-cycle gas turbine units accounted for approximately 15% and 9% of all rebids in June 2021, respectively, compared to only 7 BESS plant accounting for ~13%.</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 including more frequent negative pricing</w:t>
      </w:r>
      <w:r>
        <w:t xml:space="preserve"> </w:t>
      </w:r>
      <w:r>
        <w:t xml:space="preserve">(</w:t>
      </w:r>
      <w:hyperlink w:anchor="Xb21f952393cf7cc0ace8bfbf36b541daafcd1f6">
        <w:r>
          <w:rPr>
            <w:rStyle w:val="Hyperlink"/>
          </w:rPr>
          <w:t xml:space="preserve">Australian Energy Market Operator, 2023g</w:t>
        </w:r>
      </w:hyperlink>
      <w:r>
        <w:t xml:space="preserve">,</w:t>
      </w:r>
      <w:r>
        <w:t xml:space="preserve"> </w:t>
      </w:r>
      <w:hyperlink w:anchor="X1b9947b238752c85f6bf6eb49b95e3a5c6a007a">
        <w:r>
          <w:rPr>
            <w:rStyle w:val="Hyperlink"/>
          </w:rPr>
          <w:t xml:space="preserve">2021s</w:t>
        </w:r>
      </w:hyperlink>
      <w:r>
        <w:t xml:space="preserve">;</w:t>
      </w:r>
      <w:r>
        <w:t xml:space="preserve"> </w:t>
      </w:r>
      <w:hyperlink w:anchor="ref-ekisticaReportThreeNegative2021">
        <w:r>
          <w:rPr>
            <w:rStyle w:val="Hyperlink"/>
          </w:rPr>
          <w:t xml:space="preserve">Ekistica,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Previous work that analysed the sensitivity of price outcomes to pre-dispatch inputs from 12 hours ahead demonstrated that changes in bids and offers play a greater role in producing large price forecast errors than changes in demand or renewable energy forecasts</w:t>
      </w:r>
      <w:r>
        <w:t xml:space="preserve"> </w:t>
      </w:r>
      <w:r>
        <w:t xml:space="preserve">(</w:t>
      </w:r>
      <w:hyperlink w:anchor="ref-gormanOpenEnergySystem2024">
        <w:r>
          <w:rPr>
            <w:rStyle w:val="Hyperlink"/>
          </w:rPr>
          <w:t xml:space="preserve">Gorman, 2024</w:t>
        </w:r>
      </w:hyperlink>
      <w:r>
        <w:t xml:space="preserve">)</w:t>
      </w:r>
      <w:r>
        <w:t xml:space="preserve">. We suggest that market participants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3219423"/>
            <wp:effectExtent b="0" l="0" r="0" t="0"/>
            <wp:docPr descr="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Facility data was obtained from OpenNEM and from AEMO’ DISPATCHABLEUNIT data table (Australian Energy Market Operator, 2023d; OpenNEM, 2024). This plot was generated using matplotlib (Hunter, 2007)." title="" id="310" name="Picture"/>
            <a:graphic>
              <a:graphicData uri="http://schemas.openxmlformats.org/drawingml/2006/picture">
                <pic:pic>
                  <pic:nvPicPr>
                    <pic:cNvPr descr="source/figures/rebids_june_share_by_tech_2013_2021.pdf" id="311" name="Picture"/>
                    <pic:cNvPicPr>
                      <a:picLocks noChangeArrowheads="1" noChangeAspect="1"/>
                    </pic:cNvPicPr>
                  </pic:nvPicPr>
                  <pic:blipFill>
                    <a:blip r:embed="rId309"/>
                    <a:stretch>
                      <a:fillRect/>
                    </a:stretch>
                  </pic:blipFill>
                  <pic:spPr bwMode="auto">
                    <a:xfrm>
                      <a:off x="0" y="0"/>
                      <a:ext cx="5334000" cy="3219423"/>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12"/>
    <w:bookmarkEnd w:id="313"/>
    <w:bookmarkStart w:id="338"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26" w:name="Xb67dd18c4d85eb0be779bf7ed23395b8330a95b"/>
    <w:p>
      <w:pPr>
        <w:pStyle w:val="Heading4"/>
      </w:pPr>
      <w:r>
        <w:rPr>
          <w:rStyle w:val="SectionNumber"/>
        </w:rPr>
        <w:t xml:space="preserve">8.5.2.1</w:t>
      </w:r>
      <w:r>
        <w:tab/>
      </w:r>
      <w:r>
        <w:t xml:space="preserve">Methodology</w:t>
      </w:r>
    </w:p>
    <w:bookmarkStart w:id="315"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14"/>
      </w:r>
      <w:r>
        <w:t xml:space="preserve">.</w:t>
      </w:r>
    </w:p>
    <w:bookmarkEnd w:id="315"/>
    <w:bookmarkStart w:id="319"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state-of-charge.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17" name="Picture"/>
            <a:graphic>
              <a:graphicData uri="http://schemas.openxmlformats.org/drawingml/2006/picture">
                <pic:pic>
                  <pic:nvPicPr>
                    <pic:cNvPr descr="source/figures/storage_simulations.pdf" id="318" name="Picture"/>
                    <pic:cNvPicPr>
                      <a:picLocks noChangeArrowheads="1" noChangeAspect="1"/>
                    </pic:cNvPicPr>
                  </pic:nvPicPr>
                  <pic:blipFill>
                    <a:blip r:embed="rId316"/>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19"/>
    <w:bookmarkStart w:id="321"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20"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market participant assessing</w:t>
            </w:r>
            <w:r>
              <w:t xml:space="preserve"> </w:t>
            </w:r>
            <w:r>
              <w:t xml:space="preserve">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market participant incorporating the</w:t>
            </w:r>
            <w:r>
              <w:t xml:space="preserve"> </w:t>
            </w:r>
            <w:r>
              <w:t xml:space="preserve">belief that forecasts should improve closer to real-time into the</w:t>
            </w:r>
            <w:r>
              <w:t xml:space="preserve"> </w:t>
            </w:r>
            <w:r>
              <w:t xml:space="preserve">BESS 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20"/>
    <w:bookmarkEnd w:id="321"/>
    <w:bookmarkStart w:id="325"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market participants would actually optimise their rebids. In theory, appropriately structuring a BESS’s price-quantity bands should mean that it only participates when it is commercially beneficial to do so whilst minimising or altogether avoiding losses in the event of sudden price swings. In practice, many BESS across the NEM appear to be sacrificing some arbitrage upside by pursuing conservative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conservative bidding (compare 2021 and 2023 in Figure 28), there may be instances in which forecasts fail to predict a moderate-to-high price and a BESS only partially captures or even completely misses a significant revenue opportunity. Though additional losses incurred as a result of this assumption cannot easily be addressed by modelling modifications, we choose to adjust raw reductions in annual arbitrage revenue potential by -9% for a 4 hour BESS, -10% for a 1 hour BESS and -16% for a 15 minute BESS to account for them. We describe our reasoning and the methodology used to derive these adjustments in Appendix 11.</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23" name="Picture"/>
            <a:graphic>
              <a:graphicData uri="http://schemas.openxmlformats.org/drawingml/2006/picture">
                <pic:pic>
                  <pic:nvPicPr>
                    <pic:cNvPr descr="source/figures/aggregate_bess_bidding_0406_2021_2023.pdf" id="324" name="Picture"/>
                    <pic:cNvPicPr>
                      <a:picLocks noChangeArrowheads="1" noChangeAspect="1"/>
                    </pic:cNvPicPr>
                  </pic:nvPicPr>
                  <pic:blipFill>
                    <a:blip r:embed="rId322"/>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25"/>
    <w:bookmarkEnd w:id="326"/>
    <w:bookmarkStart w:id="327" w:name="X5e784cb2d925638efe2b9ad25d1ca2d2735827e"/>
    <w:p>
      <w:pPr>
        <w:pStyle w:val="Heading4"/>
      </w:pPr>
      <w:r>
        <w:rPr>
          <w:rStyle w:val="SectionNumber"/>
        </w:rPr>
        <w:t xml:space="preserve">8.5.2.2</w:t>
      </w:r>
      <w:r>
        <w:tab/>
      </w:r>
      <w:r>
        <w:t xml:space="preserve">Values of perfect lookahead and information</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lookahead</w:t>
      </w:r>
      <w:r>
        <w:t xml:space="preserve"> </w:t>
      </w:r>
      <w:r>
        <w:t xml:space="preserve">(VPL), which is obtained by expressing the additional annual revenue earned with access to actual price information, rather than forecast prices, in the</w:t>
      </w:r>
      <w:r>
        <w:t xml:space="preserve"> </w:t>
      </w:r>
      <w:r>
        <w:rPr>
          <w:iCs/>
          <w:i/>
        </w:rPr>
        <w:t xml:space="preserve">lookahead horizon</w:t>
      </w:r>
      <w:r>
        <w:t xml:space="preserve"> </w:t>
      </w:r>
      <w:r>
        <w:t xml:space="preserve">for each RHOC simulation step as a percentage of the perfect foresight annual revenue:</w:t>
      </w:r>
    </w:p>
    <w:p>
      <w:pPr>
        <w:pStyle w:val="FirstParagraph"/>
      </w:pPr>
      <m:oMathPara>
        <m:oMathParaPr>
          <m:jc m:val="center"/>
        </m:oMathParaPr>
        <m:oMath>
          <m:r>
            <m:rPr>
              <m:nor/>
              <m:sty m:val="p"/>
            </m:rPr>
            <m:t>VPL</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information</w:t>
      </w:r>
      <w:r>
        <w:t xml:space="preserve"> </w:t>
      </w:r>
      <w:r>
        <w:t xml:space="preserve">(VPI),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VPI</m:t>
        </m:r>
        <m:r>
          <m:rPr>
            <m:sty m:val="p"/>
          </m:rPr>
          <m:t>≈</m:t>
        </m:r>
        <m:r>
          <m:rPr>
            <m:nor/>
            <m:sty m:val="p"/>
          </m:rPr>
          <m:t>VPL</m:t>
        </m:r>
      </m:oMath>
      <w:r>
        <w:t xml:space="preserve">, then information quality accounts for most of the lost revenue potential. Otherwise if</w:t>
      </w:r>
      <w:r>
        <w:t xml:space="preserve"> </w:t>
      </w:r>
      <m:oMath>
        <m:r>
          <m:rPr>
            <m:nor/>
            <m:sty m:val="p"/>
          </m:rPr>
          <m:t>VPI</m:t>
        </m:r>
        <m:r>
          <m:rPr>
            <m:sty m:val="p"/>
          </m:rPr>
          <m:t>&gt;</m:t>
        </m:r>
        <m:r>
          <m:rPr>
            <m:nor/>
            <m:sty m:val="p"/>
          </m:rPr>
          <m:t>VPL</m:t>
        </m:r>
      </m:oMath>
      <w:r>
        <w:t xml:space="preserve">, then other changes, such as increasing the scheduling lookahead, are required alongside better information to recoup lost revenue potential.</w:t>
      </w:r>
    </w:p>
    <w:bookmarkEnd w:id="327"/>
    <w:bookmarkStart w:id="337" w:name="X208cdad597664ba7eb91586cec8002839bd423a"/>
    <w:p>
      <w:pPr>
        <w:pStyle w:val="Heading4"/>
      </w:pPr>
      <w:r>
        <w:rPr>
          <w:rStyle w:val="SectionNumber"/>
        </w:rPr>
        <w:t xml:space="preserve">8.5.2.3</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the modelling suggests that using undiscounted price forecasts across the longest lookahead horizon can reduce BESS arbitrage revenue potential by ~15–20% for a 4 hour BESS, ~40–43% for a 1 hour BESS and as much as ~62–64% for a 15 minute BESS (Figure 30). Adjusting for losses that may be avoided by modelling the optimisation of rebid decisions (see Section 6.5.2.1.4), these reductions in BESS annual arbitrage revenue potential become ~6–11% for a 4 hour BESS, ~30–33% for a 1 hour BESS and ~46–48% for a 15 minute BESS.</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29" name="Picture"/>
            <a:graphic>
              <a:graphicData uri="http://schemas.openxmlformats.org/drawingml/2006/picture">
                <pic:pic>
                  <pic:nvPicPr>
                    <pic:cNvPr descr="source/figures/NSW_100MW_100MWh_Revenue_Lookahead.pdf" id="330" name="Picture"/>
                    <pic:cNvPicPr>
                      <a:picLocks noChangeArrowheads="1" noChangeAspect="1"/>
                    </pic:cNvPicPr>
                  </pic:nvPicPr>
                  <pic:blipFill>
                    <a:blip r:embed="rId3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 title="" id="332" name="Picture"/>
            <a:graphic>
              <a:graphicData uri="http://schemas.openxmlformats.org/drawingml/2006/picture">
                <pic:pic>
                  <pic:nvPicPr>
                    <pic:cNvPr descr="source/figures/NSW_100_allformulations_vpl_vpi.pdf" id="333" name="Picture"/>
                    <pic:cNvPicPr>
                      <a:picLocks noChangeArrowheads="1" noChangeAspect="1"/>
                    </pic:cNvPicPr>
                  </pic:nvPicPr>
                  <pic:blipFill>
                    <a:blip r:embed="rId33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VPI and VPL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rPr>
            <m:nor/>
            <m:sty m:val="p"/>
          </m:rPr>
          <m:t>VPI</m:t>
        </m:r>
        <m:r>
          <m:rPr>
            <m:sty m:val="p"/>
          </m:rPr>
          <m:t>≈</m:t>
        </m:r>
        <m:r>
          <m:rPr>
            <m:nor/>
            <m:sty m:val="p"/>
          </m:rPr>
          <m:t>VPL</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35" name="Picture"/>
            <a:graphic>
              <a:graphicData uri="http://schemas.openxmlformats.org/drawingml/2006/picture">
                <pic:pic>
                  <pic:nvPicPr>
                    <pic:cNvPr descr="source/figures/NSW_100_arbitrage_throughputpenalty_no_degradation_600000_throughputs.pdf" id="336"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37"/>
    <w:bookmarkEnd w:id="338"/>
    <w:bookmarkEnd w:id="339"/>
    <w:bookmarkStart w:id="340"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market participant bidding strategies and inelastic demand. In this section, we discuss options for market participants to mitigate the impact of imperfect information, and changes to centralised knowledge processes and market design that policy-makers could implement to improve resource scheduling outcomes.</w:t>
      </w:r>
    </w:p>
    <w:p>
      <w:pPr>
        <w:pStyle w:val="BodyText"/>
      </w:pPr>
      <w:r>
        <w:t xml:space="preserve">Market participants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Market participants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market participants should consider two scheduling changes that could improve market revenues. Firstly, scheduling algorithm modifications (e.g. as suggested in Section 6.5.2.3, longer lookaheads and the tested forecast discounting methods for ESRs with short storage durations) may deliver material improvements whilst being simple to implement. Secondly, rather than pursuing all-or-nothing (Section 6.5.2.1.4) or hockey-stick bidding strategies, market participants could appropriately structure their price-quantity bands to reflect costs and manage price risk. However, doing so would require market participants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market participants.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market participants with a broader perspective of possible market outcomes than the pre-dispatch sensitivities discussed in Section 6.4.1.2. Notwithstanding the transparency benefits, the costs of increased information provision could exceed its benefits if it has little effect on market participant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market participants</w:t>
      </w:r>
      <w:r>
        <w:t xml:space="preserve"> </w:t>
      </w:r>
      <w:r>
        <w:t xml:space="preserve">(</w:t>
      </w:r>
      <w:hyperlink w:anchor="Xfd68a9355e2c910455f81d938b1336912327fa1">
        <w:r>
          <w:rPr>
            <w:rStyle w:val="Hyperlink"/>
          </w:rPr>
          <w:t xml:space="preserve">Creative Energy Consulting,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market participants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market participant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market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40"/>
    <w:bookmarkStart w:id="341"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market participant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~6–11% reduction in potential annual arbitrage revenue for a 4 hour BESS to almost 50% for a 15 minute BESS) and other scheduled resources that participate in the NEM’s real-time market. Whilst market participants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market participants.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market participant bidding strategies that are less likely to drive these phenomena. Furthermore, our analysis serves as a reminder to policy-makers elsewhere to exercise caution when making the short-term electricity markets in their jurisdictions faster and more flexible.</w:t>
      </w:r>
    </w:p>
    <w:bookmarkEnd w:id="341"/>
    <w:bookmarkStart w:id="342" w:name="data-and-source-code-availability"/>
    <w:p>
      <w:pPr>
        <w:pStyle w:val="Heading2"/>
      </w:pPr>
      <w:r>
        <w:t xml:space="preserve">Data and source code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facility numbers and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42"/>
    <w:bookmarkEnd w:id="343"/>
    <w:bookmarkStart w:id="35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44"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44"/>
    <w:bookmarkStart w:id="345"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45"/>
    <w:bookmarkStart w:id="346"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~6–11% reduction in potential annual arbitrage revenue for a 4 hour BESS to almost 50%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46"/>
    <w:bookmarkStart w:id="351"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47"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47"/>
    <w:bookmarkStart w:id="348"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48"/>
    <w:bookmarkStart w:id="349"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49"/>
    <w:bookmarkStart w:id="350"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50"/>
    <w:bookmarkEnd w:id="351"/>
    <w:bookmarkStart w:id="352"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52"/>
    <w:bookmarkEnd w:id="353"/>
    <w:bookmarkStart w:id="370" w:name="sec:appendix-reserves_assumptions"/>
    <w:p>
      <w:pPr>
        <w:pStyle w:val="Heading1"/>
      </w:pPr>
      <w:r>
        <w:rPr>
          <w:rStyle w:val="SectionNumber"/>
        </w:rPr>
        <w:t xml:space="preserve">10</w:t>
      </w:r>
      <w:r>
        <w:tab/>
      </w:r>
      <w:r>
        <w:t xml:space="preserve">Data and assumptions used in market simulation</w:t>
      </w:r>
    </w:p>
    <w:bookmarkStart w:id="35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6" name="Picture"/>
            <a:graphic>
              <a:graphicData uri="http://schemas.openxmlformats.org/drawingml/2006/picture">
                <pic:pic>
                  <pic:nvPicPr>
                    <pic:cNvPr descr="source/figures/coal_market_upper_ramps.png" id="357" name="Picture"/>
                    <pic:cNvPicPr>
                      <a:picLocks noChangeArrowheads="1" noChangeAspect="1"/>
                    </pic:cNvPicPr>
                  </pic:nvPicPr>
                  <pic:blipFill>
                    <a:blip r:embed="rId35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58"/>
    <w:bookmarkStart w:id="35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2021t</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59"/>
    <w:bookmarkStart w:id="36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0"/>
    <w:bookmarkStart w:id="36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61"/>
    <w:bookmarkStart w:id="36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2"/>
    <w:bookmarkStart w:id="36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3"/>
    <w:bookmarkStart w:id="36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4"/>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5" w:name="tbl:resourceoffers"/>
      <w:bookmarkEnd w:id="36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6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6" w:name="tbl:nswcalibration"/>
      <w:bookmarkEnd w:id="36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67" w:name="tbl:sacalibration"/>
      <w:bookmarkEnd w:id="36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68"/>
    <w:bookmarkEnd w:id="369"/>
    <w:bookmarkEnd w:id="370"/>
    <w:bookmarkStart w:id="379" w:name="sec:appendix-milps"/>
    <w:p>
      <w:pPr>
        <w:pStyle w:val="Heading1"/>
      </w:pPr>
      <w:r>
        <w:rPr>
          <w:rStyle w:val="SectionNumber"/>
        </w:rPr>
        <w:t xml:space="preserve">11</w:t>
      </w:r>
      <w:r>
        <w:tab/>
      </w:r>
      <w:r>
        <w:t xml:space="preserve">Mixed integer linear program formulations</w:t>
      </w:r>
    </w:p>
    <w:bookmarkStart w:id="37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71"/>
    <w:bookmarkStart w:id="375" w:name="nomenclature"/>
    <w:p>
      <w:pPr>
        <w:pStyle w:val="Heading2"/>
      </w:pPr>
      <w:r>
        <w:rPr>
          <w:rStyle w:val="SectionNumber"/>
        </w:rPr>
        <w:t xml:space="preserve">11.2</w:t>
      </w:r>
      <w:r>
        <w:tab/>
      </w:r>
      <w:r>
        <w:t xml:space="preserve">Nomenclature</w:t>
      </w:r>
    </w:p>
    <w:bookmarkStart w:id="372" w:name="indices-and-sets-1"/>
    <w:p>
      <w:pPr>
        <w:pStyle w:val="Heading3"/>
      </w:pPr>
      <w:r>
        <w:rPr>
          <w:rStyle w:val="SectionNumber"/>
        </w:rPr>
        <w:t xml:space="preserve">11.2.1</w:t>
      </w:r>
      <w:r>
        <w:tab/>
      </w:r>
      <w:r>
        <w:t xml:space="preserve">Indices and sets</w:t>
      </w:r>
    </w:p>
    <w:bookmarkEnd w:id="372"/>
    <w:bookmarkStart w:id="373" w:name="parameters"/>
    <w:p>
      <w:pPr>
        <w:pStyle w:val="Heading3"/>
      </w:pPr>
      <w:r>
        <w:rPr>
          <w:rStyle w:val="SectionNumber"/>
        </w:rPr>
        <w:t xml:space="preserve">11.2.2</w:t>
      </w:r>
      <w:r>
        <w:tab/>
      </w:r>
      <w:r>
        <w:t xml:space="preserve">Parameters</w:t>
      </w:r>
    </w:p>
    <w:bookmarkEnd w:id="373"/>
    <w:bookmarkStart w:id="374" w:name="variables"/>
    <w:p>
      <w:pPr>
        <w:pStyle w:val="Heading3"/>
      </w:pPr>
      <w:r>
        <w:rPr>
          <w:rStyle w:val="SectionNumber"/>
        </w:rPr>
        <w:t xml:space="preserve">11.2.3</w:t>
      </w:r>
      <w:r>
        <w:tab/>
      </w:r>
      <w:r>
        <w:t xml:space="preserve">Variables</w:t>
      </w:r>
    </w:p>
    <w:bookmarkEnd w:id="374"/>
    <w:bookmarkEnd w:id="375"/>
    <w:bookmarkStart w:id="37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76"/>
    <w:bookmarkStart w:id="37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77"/>
    <w:bookmarkStart w:id="37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78"/>
    <w:bookmarkEnd w:id="379"/>
    <w:bookmarkStart w:id="38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8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80"/>
    </w:p>
    <w:p>
      <w:pPr>
        <w:pStyle w:val="FirstParagraph"/>
      </w:pPr>
      <w:bookmarkStart w:id="38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8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82" w:name="tbl:discount-rates"/>
      <w:bookmarkEnd w:id="38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84" name="Picture"/>
            <a:graphic>
              <a:graphicData uri="http://schemas.openxmlformats.org/drawingml/2006/picture">
                <pic:pic>
                  <pic:nvPicPr>
                    <pic:cNvPr descr="source/figures/NSW1_percent_above_300.0_2021.png" id="385" name="Picture"/>
                    <pic:cNvPicPr>
                      <a:picLocks noChangeArrowheads="1" noChangeAspect="1"/>
                    </pic:cNvPicPr>
                  </pic:nvPicPr>
                  <pic:blipFill>
                    <a:blip r:embed="rId38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6.5.2.3,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87" name="Picture"/>
            <a:graphic>
              <a:graphicData uri="http://schemas.openxmlformats.org/drawingml/2006/picture">
                <pic:pic>
                  <pic:nvPicPr>
                    <pic:cNvPr descr="source/figures/curve_fits_300.0.png" id="388" name="Picture"/>
                    <pic:cNvPicPr>
                      <a:picLocks noChangeArrowheads="1" noChangeAspect="1"/>
                    </pic:cNvPicPr>
                  </pic:nvPicPr>
                  <pic:blipFill>
                    <a:blip r:embed="rId38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89"/>
    <w:bookmarkStart w:id="394" w:name="sec:appendix-losses"/>
    <w:p>
      <w:pPr>
        <w:pStyle w:val="Heading1"/>
      </w:pPr>
      <w:r>
        <w:rPr>
          <w:rStyle w:val="SectionNumber"/>
        </w:rPr>
        <w:t xml:space="preserve">13</w:t>
      </w:r>
      <w:r>
        <w:tab/>
      </w:r>
      <w:r>
        <w:t xml:space="preserve">Adjusting for optimising dispatch decisions over rebids</w:t>
      </w:r>
    </w:p>
    <w:p>
      <w:pPr>
        <w:pStyle w:val="FirstParagraph"/>
      </w:pPr>
      <w:r>
        <w:t xml:space="preserve">Optimising the modelled BESS for dispatch decisions rather than forming bids and offers (as market participants would do for BESSs in the NEM) leads to lower annual arbitrage revenues because of opportunities missed or losses incurred in the three situations described below:</w:t>
      </w:r>
    </w:p>
    <w:p>
      <w:pPr>
        <w:numPr>
          <w:ilvl w:val="0"/>
          <w:numId w:val="1056"/>
        </w:numPr>
      </w:pPr>
      <w:r>
        <w:t xml:space="preserve">The BESS misses revenue opportunities presented by unanticipated price spikes that it would otherwise be dispatched to capture if its (discharge) capacity were offered into lower price bands. However, as we discuss in Section 6.5.2.1.4, BESSs in the NEM appear to be employing conservative bidding strategies to some extent. This means that they may still be missing opportunities to discharge during periods with moderate-to-high prices.</w:t>
      </w:r>
    </w:p>
    <w:p>
      <w:pPr>
        <w:numPr>
          <w:ilvl w:val="0"/>
          <w:numId w:val="1056"/>
        </w:numPr>
      </w:pPr>
      <w:r>
        <w:t xml:space="preserve">The BESS incurs losses from discharging during a negative price period where it would otherwise not. Though a market participant might choose to discharge the BESS into negative prices (e.g. to reduce its state-of-charge so that it might switch to charging at a later interval priced at the market floor), they could avoid such losses by offering (discharge) capacity into non-negative price bands. The magnitude of the losses incurred by a BESS in this situation is limited by the market price floor (-1000 AUD/MW/hr).</w:t>
      </w:r>
    </w:p>
    <w:p>
      <w:pPr>
        <w:numPr>
          <w:ilvl w:val="0"/>
          <w:numId w:val="1056"/>
        </w:numPr>
      </w:pPr>
      <w:r>
        <w:t xml:space="preserve">The BESS incurs losses from charging during high positive prices where it would otherwise not. Though a market participant might choose to charge the BESS during high positive prices (e.g. to increase the BESS’s state-of-charge so that it can discharge in market intervals with even higher prices), they could avoid such losses by bidding (charge) capacity into negative price bands. The magnitude of the losses incurred by a BESS in this situation may be higher than those incurred from discharging during a negative price period as the modelled market price cap is 15,100 AUD/MW/hr.</w:t>
      </w:r>
    </w:p>
    <w:bookmarkStart w:id="393" w:name="magnitude-of-additional-losses"/>
    <w:p>
      <w:pPr>
        <w:pStyle w:val="Heading2"/>
      </w:pPr>
      <w:r>
        <w:rPr>
          <w:rStyle w:val="SectionNumber"/>
        </w:rPr>
        <w:t xml:space="preserve">13.1</w:t>
      </w:r>
      <w:r>
        <w:tab/>
      </w:r>
      <w:r>
        <w:t xml:space="preserve">Magnitude of additional losses</w:t>
      </w:r>
    </w:p>
    <w:p>
      <w:pPr>
        <w:pStyle w:val="FirstParagraph"/>
      </w:pPr>
      <w:r>
        <w:t xml:space="preserve">Since BESSs participating in the NEM may still miss revenue opportunities because they are employing conservative bidding strategies, we focus on quantifying the impact of the additional losses described above in situations 2 and 3. To do so, we use the modelling methodology described in Section 6.5.2.1 to run a RHOC simulation for each BESS configuration where the BESS is provided with actual price data for the binding period (i.e. next 5 minutes) and forecast price data for the remainder of its lookahead in each RHOC simulation step. We call this the</w:t>
      </w:r>
      <w:r>
        <w:t xml:space="preserve"> </w:t>
      </w:r>
      <w:r>
        <w:t xml:space="preserve">“</w:t>
      </w:r>
      <w:r>
        <w:t xml:space="preserve">actual price in binding</w:t>
      </w:r>
      <w:r>
        <w:t xml:space="preserve">”</w:t>
      </w:r>
      <w:r>
        <w:t xml:space="preserve"> </w:t>
      </w:r>
      <w:r>
        <w:t xml:space="preserve">(APB) variant, in which the BESS should avoid undesirable losses just as it would if its bids and offers were appropriately structured. By comparing the losses (i.e. under situations 2 and 3) for each BESS configuration in the</w:t>
      </w:r>
      <w:r>
        <w:t xml:space="preserve"> </w:t>
      </w:r>
      <w:r>
        <w:t xml:space="preserve">“</w:t>
      </w:r>
      <w:r>
        <w:t xml:space="preserve">standard</w:t>
      </w:r>
      <w:r>
        <w:t xml:space="preserve">”</w:t>
      </w:r>
      <w:r>
        <w:t xml:space="preserve"> </w:t>
      </w:r>
      <w:r>
        <w:t xml:space="preserve">simulation with forecast data (i.e. entire RHOC simulation step uses forecast price data, as described in Section 6.5.2.1) and the APB variant, we estimate the degree to which reductions in arbitrage revenue potential calculated from the results of the modelling in Section 6.5.2 should be adjusted to better reflect those that BESSs participating in the NEM might actually experience.</w:t>
      </w:r>
    </w:p>
    <w:p>
      <w:pPr>
        <w:pStyle w:val="BodyText"/>
      </w:pPr>
      <w:r>
        <w:t xml:space="preserve">Table 3 shows the maximum losses incurred from discharging (i.e. situation 2) and from charging at higher market prices (i.e. situation 3, with a threshold of 500 AUD/MW/hr chosen based on the</w:t>
      </w:r>
      <w:r>
        <w:t xml:space="preserve"> </w:t>
      </w:r>
      <w:r>
        <w:t xml:space="preserve">“</w:t>
      </w:r>
      <w:r>
        <w:t xml:space="preserve">detrimental decisions</w:t>
      </w:r>
      <w:r>
        <w:t xml:space="preserve">”</w:t>
      </w:r>
      <w:r>
        <w:t xml:space="preserve"> </w:t>
      </w:r>
      <w:r>
        <w:t xml:space="preserve">shown in Figure 29) across all BESS configurations and lookaheads for the standard simulation and APB variant. The maximum losses from discharging into negative prices are small whilst the maximum losses from charging at higher market prices are significant in the standard simulations (21-36% of annual arbitrage revenue). As such, we hereon only consider avoidable losses from charging at higher market prices. Table 3 also shows that maximum charging losses are significantly reduced but not entirely eliminated by providing the BESS with actual price data for the binding period. Because it is still optimal for the BESS to occasionally charge at high prices to enable greater discharge at even higher prices, modelling simplifications that entirely eliminate charging at higher prices are inappropriate.</w:t>
      </w:r>
    </w:p>
    <w:bookmarkStart w:id="390" w:name="tbl:max_losses"/>
    <w:p>
      <w:pPr>
        <w:pStyle w:val="TableCaption"/>
      </w:pPr>
      <w:r>
        <w:t xml:space="preserve">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p>
    <w:tbl>
      <w:tblPr>
        <w:tblStyle w:val="Table"/>
        <w:tblW w:type="pct" w:w="4878"/>
        <w:tblLook w:firstRow="1" w:lastRow="0" w:firstColumn="0" w:lastColumn="0" w:noHBand="0" w:noVBand="0" w:val="0020"/>
        <w:jc w:val="start"/>
        <w:tblCaption w:val="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
      </w:tblPr>
      <w:tblGrid>
        <w:gridCol w:w="2640"/>
        <w:gridCol w:w="772"/>
        <w:gridCol w:w="1931"/>
        <w:gridCol w:w="772"/>
        <w:gridCol w:w="1609"/>
      </w:tblGrid>
      <w:tr>
        <w:trPr>
          <w:tblHeader w:val="true"/>
        </w:trPr>
        <w:tc>
          <w:tcPr>
            <w:vMerge w:val="restart"/>
          </w:tcPr>
          <w:p>
            <w:pPr>
              <w:pStyle w:val="Compact"/>
              <w:jc w:val="left"/>
            </w:pPr>
            <w:r>
              <w:t xml:space="preserve">Formulation</w:t>
            </w:r>
          </w:p>
        </w:tc>
        <w:tc>
          <w:tcPr>
            <w:gridSpan w:val="2"/>
          </w:tcPr>
          <w:p>
            <w:pPr>
              <w:jc w:val="left"/>
            </w:pPr>
            <m:oMath>
              <m:sSub>
                <m:e>
                  <m:r>
                    <m:rPr>
                      <m:nor/>
                      <m:sty m:val="p"/>
                    </m:rPr>
                    <m:t>Max. loss</m:t>
                  </m:r>
                </m:e>
                <m:sub>
                  <m:r>
                    <m:rPr>
                      <m:nor/>
                      <m:sty m:val="p"/>
                    </m:rPr>
                    <m:t>discharge</m:t>
                  </m:r>
                </m:sub>
              </m:sSub>
            </m:oMath>
          </w:p>
          <w:p>
            <w:pPr>
              <w:jc w:val="left"/>
            </w:pPr>
            <w:r>
              <w:t xml:space="preserve">(% of annual revenue)</w:t>
            </w:r>
          </w:p>
        </w:tc>
        <w:tc>
          <w:tcPr>
            <w:gridSpan w:val="2"/>
          </w:tcPr>
          <w:p>
            <w:pPr>
              <w:jc w:val="left"/>
            </w:pPr>
            <m:oMath>
              <m:sSub>
                <m:e>
                  <m:r>
                    <m:rPr>
                      <m:nor/>
                      <m:sty m:val="p"/>
                    </m:rPr>
                    <m:t>Max. loss</m:t>
                  </m:r>
                </m:e>
                <m:sub>
                  <m:r>
                    <m:rPr>
                      <m:nor/>
                      <m:sty m:val="p"/>
                    </m:rPr>
                    <m:t>charge, 500AUD/MW/hr</m:t>
                  </m:r>
                </m:sub>
              </m:sSub>
            </m:oMath>
          </w:p>
          <w:p>
            <w:pPr>
              <w:jc w:val="left"/>
            </w:pPr>
            <w:r>
              <w:t xml:space="preserve">(% of annual revenue)</w:t>
            </w:r>
          </w:p>
        </w:tc>
      </w:tr>
      <w:tr>
        <w:trPr>
          <w:tblHeader w:val="true"/>
        </w:trPr>
        <w:tc>
          <w:tcPr>
            <w:gridSpan w:val="1"/>
            <w:vMerge w:val="continue"/>
          </w:tcPr>
          <w:p>
            <w:pPr/>
          </w:p>
        </w:tc>
        <w:tc>
          <w:tcPr/>
          <w:p>
            <w:pPr>
              <w:pStyle w:val="Compact"/>
              <w:jc w:val="left"/>
            </w:pPr>
            <w:r>
              <w:t xml:space="preserve">Standard</w:t>
            </w:r>
          </w:p>
        </w:tc>
        <w:tc>
          <w:tcPr/>
          <w:p>
            <w:pPr>
              <w:pStyle w:val="Compact"/>
              <w:jc w:val="left"/>
            </w:pPr>
            <w:r>
              <w:t xml:space="preserve">APB</w:t>
            </w:r>
          </w:p>
        </w:tc>
        <w:tc>
          <w:tcPr/>
          <w:p>
            <w:pPr>
              <w:pStyle w:val="Compact"/>
              <w:jc w:val="left"/>
            </w:pPr>
            <w:r>
              <w:t xml:space="preserve">Standard</w:t>
            </w:r>
          </w:p>
        </w:tc>
        <w:tc>
          <w:tcPr/>
          <w:p>
            <w:pPr>
              <w:pStyle w:val="Compact"/>
              <w:jc w:val="left"/>
            </w:pPr>
            <w:r>
              <w:t xml:space="preserve">APB</w:t>
            </w:r>
          </w:p>
        </w:tc>
      </w:tr>
      <w:tr>
        <w:tc>
          <w:tcPr/>
          <w:p>
            <w:pPr>
              <w:pStyle w:val="Compact"/>
              <w:jc w:val="left"/>
            </w:pPr>
            <w:r>
              <w:t xml:space="preserve">Arbitrage</w:t>
            </w:r>
          </w:p>
        </w:tc>
        <w:tc>
          <w:tcPr/>
          <w:p>
            <w:pPr>
              <w:pStyle w:val="Compact"/>
              <w:jc w:val="left"/>
            </w:pPr>
            <w:r>
              <w:t xml:space="preserve">4%</w:t>
            </w:r>
          </w:p>
        </w:tc>
        <w:tc>
          <w:tcPr/>
          <w:p>
            <w:pPr>
              <w:pStyle w:val="Compact"/>
              <w:jc w:val="left"/>
            </w:pPr>
            <w:r>
              <w:t xml:space="preserve">2%</w:t>
            </w:r>
          </w:p>
        </w:tc>
        <w:tc>
          <w:tcPr/>
          <w:p>
            <w:pPr>
              <w:pStyle w:val="Compact"/>
              <w:jc w:val="left"/>
            </w:pPr>
            <w:r>
              <w:t xml:space="preserve">21%</w:t>
            </w:r>
          </w:p>
        </w:tc>
        <w:tc>
          <w:tcPr/>
          <w:p>
            <w:pPr>
              <w:pStyle w:val="Compact"/>
              <w:jc w:val="left"/>
            </w:pPr>
            <w:r>
              <w:t xml:space="preserve">4%</w:t>
            </w:r>
          </w:p>
        </w:tc>
      </w:tr>
      <w:tr>
        <w:tc>
          <w:tcPr/>
          <w:p>
            <w:pPr>
              <w:jc w:val="left"/>
            </w:pPr>
            <w:r>
              <w:t xml:space="preserve">Arbitrage with throughput penalty</w:t>
            </w:r>
          </w:p>
          <w:p>
            <w:pPr>
              <w:jc w:val="left"/>
            </w:pPr>
            <w:r>
              <w:t xml:space="preserve">(200,000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27%</w:t>
            </w:r>
          </w:p>
        </w:tc>
        <w:tc>
          <w:tcPr/>
          <w:p>
            <w:pPr>
              <w:pStyle w:val="Compact"/>
              <w:jc w:val="left"/>
            </w:pPr>
            <w:r>
              <w:t xml:space="preserve">4%</w:t>
            </w:r>
          </w:p>
        </w:tc>
      </w:tr>
      <w:tr>
        <w:tc>
          <w:tcPr/>
          <w:p>
            <w:pPr>
              <w:jc w:val="left"/>
            </w:pPr>
            <w:r>
              <w:t xml:space="preserve">Arbitrage with throughput penalty</w:t>
            </w:r>
          </w:p>
          <w:p>
            <w:pPr>
              <w:jc w:val="left"/>
            </w:pPr>
            <w:r>
              <w:t xml:space="preserve">(400,000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35%</w:t>
            </w:r>
          </w:p>
        </w:tc>
        <w:tc>
          <w:tcPr/>
          <w:p>
            <w:pPr>
              <w:pStyle w:val="Compact"/>
              <w:jc w:val="left"/>
            </w:pPr>
            <w:r>
              <w:t xml:space="preserve">5%</w:t>
            </w:r>
          </w:p>
        </w:tc>
      </w:tr>
      <w:tr>
        <w:tc>
          <w:tcPr/>
          <w:p>
            <w:pPr>
              <w:jc w:val="left"/>
            </w:pPr>
            <w:r>
              <w:t xml:space="preserve">Arbitrage with throughput penalty</w:t>
            </w:r>
          </w:p>
          <w:p>
            <w:pPr>
              <w:jc w:val="left"/>
            </w:pPr>
            <w:r>
              <w:t xml:space="preserve">(600,000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36%</w:t>
            </w:r>
          </w:p>
        </w:tc>
        <w:tc>
          <w:tcPr/>
          <w:p>
            <w:pPr>
              <w:pStyle w:val="Compact"/>
              <w:jc w:val="left"/>
            </w:pPr>
            <w:r>
              <w:t xml:space="preserve">5%</w:t>
            </w:r>
          </w:p>
        </w:tc>
      </w:tr>
      <w:tr>
        <w:tc>
          <w:tcPr/>
          <w:p>
            <w:pPr>
              <w:jc w:val="left"/>
            </w:pPr>
            <w:r>
              <w:t xml:space="preserve">Arbitrage with throughput penalty</w:t>
            </w:r>
          </w:p>
          <w:p>
            <w:pPr>
              <w:jc w:val="left"/>
            </w:pPr>
            <w:r>
              <w:t xml:space="preserve">(800,000 AUD/MWh)</w:t>
            </w:r>
          </w:p>
        </w:tc>
        <w:tc>
          <w:tcPr/>
          <w:p>
            <w:pPr>
              <w:pStyle w:val="Compact"/>
              <w:jc w:val="left"/>
            </w:pPr>
            <w:r>
              <w:t xml:space="preserve">&lt;1%</w:t>
            </w:r>
          </w:p>
        </w:tc>
        <w:tc>
          <w:tcPr/>
          <w:p>
            <w:pPr>
              <w:pStyle w:val="Compact"/>
              <w:jc w:val="left"/>
            </w:pPr>
            <w:r>
              <w:t xml:space="preserve">&lt;1%</w:t>
            </w:r>
          </w:p>
        </w:tc>
        <w:tc>
          <w:tcPr/>
          <w:p>
            <w:pPr>
              <w:pStyle w:val="Compact"/>
              <w:jc w:val="left"/>
            </w:pPr>
            <w:r>
              <w:t xml:space="preserve">36%</w:t>
            </w:r>
          </w:p>
        </w:tc>
        <w:tc>
          <w:tcPr/>
          <w:p>
            <w:pPr>
              <w:pStyle w:val="Compact"/>
              <w:jc w:val="left"/>
            </w:pPr>
            <w:r>
              <w:t xml:space="preserve">6%</w:t>
            </w:r>
          </w:p>
        </w:tc>
      </w:tr>
      <w:tr>
        <w:tc>
          <w:tcPr/>
          <w:p>
            <w:pPr>
              <w:jc w:val="left"/>
            </w:pPr>
            <w:r>
              <w:t xml:space="preserve">Arbitrage with discounting</w:t>
            </w:r>
          </w:p>
          <w:p>
            <w:pPr>
              <w:jc w:val="left"/>
            </w:pPr>
            <w:r>
              <w:t xml:space="preserve">(exponential)</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r>
        <w:tc>
          <w:tcPr/>
          <w:p>
            <w:pPr>
              <w:jc w:val="left"/>
            </w:pPr>
            <w:r>
              <w:t xml:space="preserve">Arbitrage with discounting</w:t>
            </w:r>
          </w:p>
          <w:p>
            <w:pPr>
              <w:jc w:val="left"/>
            </w:pPr>
            <w:r>
              <w:t xml:space="preserve">(hyperbolic)</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bl>
    <w:bookmarkEnd w:id="390"/>
    <w:p>
      <w:pPr>
        <w:pStyle w:val="BodyText"/>
      </w:pPr>
      <w:r>
        <w:t xml:space="preserve">To derive adjustments, we calculate the mean and median reductions from the standard simulation to the APB variant in charging losses during intervals with market prices greater than or equal to 500 AUD/MW/hr and take the higher of the two for each storage duration. We calculate reductions by storage durations as shorter duration BESS will charge more frequently, choose the mean and median as aggregation functions so that the adjustments reflect a range of BESS operating practices, and ignore results from the 5 minute lookahead schedules since they are not the result of the intertemporal decision-making that would be common for BESS in the NEM. Table 4 shows the mean and median reductions across all formulation and lookaheads (excluding the 5 minute lookahead) simulated for each BESS storage duration. Based on these results, we choose to apply the following adjustments to the raw reductions in arbitrage revenue potential calculated in Section 6.5.2 to better reflect those that would be seen by a BESS optimising its rebids in the NEM:</w:t>
      </w:r>
    </w:p>
    <w:p>
      <w:pPr>
        <w:numPr>
          <w:ilvl w:val="0"/>
          <w:numId w:val="1057"/>
        </w:numPr>
        <w:pStyle w:val="Compact"/>
      </w:pPr>
      <w:r>
        <w:t xml:space="preserve">-9% for a 4 hour BESS</w:t>
      </w:r>
    </w:p>
    <w:p>
      <w:pPr>
        <w:numPr>
          <w:ilvl w:val="0"/>
          <w:numId w:val="1057"/>
        </w:numPr>
        <w:pStyle w:val="Compact"/>
      </w:pPr>
      <w:r>
        <w:t xml:space="preserve">-10% for a 1 hour BESS</w:t>
      </w:r>
    </w:p>
    <w:p>
      <w:pPr>
        <w:numPr>
          <w:ilvl w:val="0"/>
          <w:numId w:val="1057"/>
        </w:numPr>
        <w:pStyle w:val="Compact"/>
      </w:pPr>
      <w:r>
        <w:t xml:space="preserve">-16% for a 15 minute BESS</w:t>
      </w:r>
    </w:p>
    <w:p>
      <w:pPr>
        <w:pStyle w:val="FirstParagraph"/>
      </w:pPr>
      <w:r>
        <w:t xml:space="preserve">It is important to note that the APB variant is inappropriate for modelling the impact of using pre-dispatch price forecasts on arbitrage revenue because it provides the BESS scheduler with perfect foresight for the next market interval. This can lead to annual arbitrage revenue improvements (see Table 5, which shows the improvements of the APB variant on the standard simulation) that exceed the maximum reduction in losses incurred from charging during market intervals with prices greater than or equal to 500 AUD/MW/hr (Table 3).</w:t>
      </w:r>
    </w:p>
    <w:bookmarkStart w:id="391" w:name="tbl:losses_reductions"/>
    <w:p>
      <w:pPr>
        <w:pStyle w:val="TableCaption"/>
      </w:pPr>
      <w:r>
        <w:t xml:space="preserve">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p>
    <w:tbl>
      <w:tblPr>
        <w:tblStyle w:val="Table"/>
        <w:tblW w:type="pct" w:w="4444"/>
        <w:tblLook w:firstRow="1" w:lastRow="0" w:firstColumn="0" w:lastColumn="0" w:noHBand="0" w:noVBand="0" w:val="0020"/>
        <w:jc w:val="start"/>
        <w:tblCaption w:val="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
      </w:tblPr>
      <w:tblGrid>
        <w:gridCol w:w="4510"/>
        <w:gridCol w:w="1320"/>
        <w:gridCol w:w="1210"/>
      </w:tblGrid>
      <w:tr>
        <w:trPr>
          <w:tblHeader w:val="true"/>
        </w:trPr>
        <w:tc>
          <w:tcPr>
            <w:vMerge w:val="restart"/>
          </w:tcPr>
          <w:p>
            <w:pPr>
              <w:pStyle w:val="Compact"/>
              <w:jc w:val="left"/>
            </w:pPr>
            <w:r>
              <w:t xml:space="preserve">Storage duration (power/energy)</w:t>
            </w:r>
          </w:p>
        </w:tc>
        <w:tc>
          <w:tcPr>
            <w:gridSpan w:val="2"/>
          </w:tcPr>
          <w:p>
            <w:pPr>
              <w:jc w:val="left"/>
            </w:pPr>
            <w:r>
              <w:t xml:space="preserve">Charging loss</w:t>
            </w:r>
            <w:r>
              <w:t xml:space="preserve"> </w:t>
            </w:r>
            <w:r>
              <w:t xml:space="preserve">reduction</w:t>
            </w:r>
          </w:p>
          <w:p>
            <w:pPr>
              <w:jc w:val="left"/>
            </w:pPr>
            <w:r>
              <w:t xml:space="preserve">(% of annual revenue)</w:t>
            </w:r>
          </w:p>
        </w:tc>
      </w:tr>
      <w:tr>
        <w:trPr>
          <w:tblHeader w:val="true"/>
        </w:trPr>
        <w:tc>
          <w:tcPr>
            <w:gridSpan w:val="1"/>
            <w:vMerge w:val="continue"/>
          </w:tcPr>
          <w:p>
            <w:pPr/>
          </w:p>
        </w:tc>
        <w:tc>
          <w:tcPr/>
          <w:p>
            <w:pPr>
              <w:pStyle w:val="Compact"/>
              <w:jc w:val="left"/>
            </w:pPr>
            <w:r>
              <w:t xml:space="preserve">mean</w:t>
            </w:r>
          </w:p>
        </w:tc>
        <w:tc>
          <w:tcPr/>
          <w:p>
            <w:pPr>
              <w:pStyle w:val="Compact"/>
              <w:jc w:val="left"/>
            </w:pPr>
            <w:r>
              <w:t xml:space="preserve">median</w:t>
            </w:r>
          </w:p>
        </w:tc>
      </w:tr>
      <w:tr>
        <w:tc>
          <w:tcPr/>
          <w:p>
            <w:pPr>
              <w:pStyle w:val="Compact"/>
              <w:jc w:val="left"/>
            </w:pPr>
            <w:r>
              <w:t xml:space="preserve">4 hours (25 MW/ 100 MWh)</w:t>
            </w:r>
          </w:p>
        </w:tc>
        <w:tc>
          <w:tcPr/>
          <w:p>
            <w:pPr>
              <w:pStyle w:val="Compact"/>
              <w:jc w:val="left"/>
            </w:pPr>
            <w:r>
              <w:t xml:space="preserve">8%</w:t>
            </w:r>
          </w:p>
        </w:tc>
        <w:tc>
          <w:tcPr/>
          <w:p>
            <w:pPr>
              <w:pStyle w:val="Compact"/>
              <w:jc w:val="left"/>
            </w:pPr>
            <w:r>
              <w:t xml:space="preserve">9%</w:t>
            </w:r>
          </w:p>
        </w:tc>
      </w:tr>
      <w:tr>
        <w:tc>
          <w:tcPr/>
          <w:p>
            <w:pPr>
              <w:pStyle w:val="Compact"/>
              <w:jc w:val="left"/>
            </w:pPr>
            <w:r>
              <w:t xml:space="preserve">1 hour (100 MW/ 100 MWh)</w:t>
            </w:r>
          </w:p>
        </w:tc>
        <w:tc>
          <w:tcPr/>
          <w:p>
            <w:pPr>
              <w:pStyle w:val="Compact"/>
              <w:jc w:val="left"/>
            </w:pPr>
            <w:r>
              <w:t xml:space="preserve">10%</w:t>
            </w:r>
          </w:p>
        </w:tc>
        <w:tc>
          <w:tcPr/>
          <w:p>
            <w:pPr>
              <w:pStyle w:val="Compact"/>
              <w:jc w:val="left"/>
            </w:pPr>
            <w:r>
              <w:t xml:space="preserve">6%</w:t>
            </w:r>
          </w:p>
        </w:tc>
      </w:tr>
      <w:tr>
        <w:tc>
          <w:tcPr/>
          <w:p>
            <w:pPr>
              <w:pStyle w:val="Compact"/>
              <w:jc w:val="left"/>
            </w:pPr>
            <w:r>
              <w:t xml:space="preserve">15 minutes (400 MW/ 100 MWh)</w:t>
            </w:r>
          </w:p>
        </w:tc>
        <w:tc>
          <w:tcPr/>
          <w:p>
            <w:pPr>
              <w:pStyle w:val="Compact"/>
              <w:jc w:val="left"/>
            </w:pPr>
            <w:r>
              <w:t xml:space="preserve">16%</w:t>
            </w:r>
          </w:p>
        </w:tc>
        <w:tc>
          <w:tcPr/>
          <w:p>
            <w:pPr>
              <w:pStyle w:val="Compact"/>
              <w:jc w:val="left"/>
            </w:pPr>
            <w:r>
              <w:t xml:space="preserve">15%</w:t>
            </w:r>
          </w:p>
        </w:tc>
      </w:tr>
    </w:tbl>
    <w:bookmarkEnd w:id="391"/>
    <w:bookmarkStart w:id="392" w:name="tbl:rev_improvement"/>
    <w:p>
      <w:pPr>
        <w:pStyle w:val="TableCaption"/>
      </w:pPr>
      <w:r>
        <w:t xml:space="preserve">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p>
    <w:tbl>
      <w:tblPr>
        <w:tblStyle w:val="Table"/>
        <w:tblW w:type="pct" w:w="4583"/>
        <w:tblLook w:firstRow="1" w:lastRow="0" w:firstColumn="0" w:lastColumn="0" w:noHBand="0" w:noVBand="0" w:val="0020"/>
        <w:jc w:val="start"/>
        <w:tblCaption w:val="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textrm{improvement (\%)}=\frac{\textrm{Revenue}_{\textrm{APB}} - \textrm{Revenue}_{\textrm{standard}}}{\textrm{Revenue}_{\textrm{standard}}} \times 100)."/>
      </w:tblPr>
      <w:tblGrid>
        <w:gridCol w:w="4510"/>
        <w:gridCol w:w="880"/>
        <w:gridCol w:w="880"/>
        <w:gridCol w:w="990"/>
      </w:tblGrid>
      <w:tr>
        <w:trPr>
          <w:tblHeader w:val="true"/>
        </w:trPr>
        <w:tc>
          <w:tcPr>
            <w:vMerge w:val="restart"/>
          </w:tcPr>
          <w:p>
            <w:pPr>
              <w:pStyle w:val="Compact"/>
              <w:jc w:val="left"/>
            </w:pPr>
            <w:r>
              <w:t xml:space="preserve">Formulation</w:t>
            </w:r>
          </w:p>
        </w:tc>
        <w:tc>
          <w:tcPr>
            <w:gridSpan w:val="3"/>
          </w:tcPr>
          <w:p>
            <w:pPr>
              <w:jc w:val="left"/>
            </w:pPr>
            <w:r>
              <w:t xml:space="preserve">APB revenue improvement</w:t>
            </w:r>
          </w:p>
          <w:p>
            <w:pPr>
              <w:jc w:val="left"/>
            </w:pPr>
            <w:r>
              <w:t xml:space="preserve">(% of standard revenue)</w:t>
            </w:r>
          </w:p>
        </w:tc>
      </w:tr>
      <w:tr>
        <w:trPr>
          <w:tblHeader w:val="true"/>
        </w:trPr>
        <w:tc>
          <w:tcPr>
            <w:gridSpan w:val="1"/>
            <w:vMerge w:val="continue"/>
          </w:tcPr>
          <w:p>
            <w:pPr/>
          </w:p>
        </w:tc>
        <w:tc>
          <w:tcPr/>
          <w:p>
            <w:pPr>
              <w:pStyle w:val="Compact"/>
              <w:jc w:val="left"/>
            </w:pPr>
            <w:r>
              <w:t xml:space="preserve">min</w:t>
            </w:r>
          </w:p>
        </w:tc>
        <w:tc>
          <w:tcPr/>
          <w:p>
            <w:pPr>
              <w:pStyle w:val="Compact"/>
              <w:jc w:val="left"/>
            </w:pPr>
            <w:r>
              <w:t xml:space="preserve">median</w:t>
            </w:r>
          </w:p>
        </w:tc>
        <w:tc>
          <w:tcPr/>
          <w:p>
            <w:pPr>
              <w:pStyle w:val="Compact"/>
              <w:jc w:val="left"/>
            </w:pPr>
            <w:r>
              <w:t xml:space="preserve">max</w:t>
            </w:r>
          </w:p>
        </w:tc>
      </w:tr>
      <w:tr>
        <w:tc>
          <w:tcPr/>
          <w:p>
            <w:pPr>
              <w:pStyle w:val="Compact"/>
              <w:jc w:val="left"/>
            </w:pPr>
            <w:r>
              <w:t xml:space="preserve">Arbitrage</w:t>
            </w:r>
          </w:p>
        </w:tc>
        <w:tc>
          <w:tcPr/>
          <w:p>
            <w:pPr>
              <w:pStyle w:val="Compact"/>
              <w:jc w:val="left"/>
            </w:pPr>
            <w:r>
              <w:t xml:space="preserve">10%</w:t>
            </w:r>
          </w:p>
        </w:tc>
        <w:tc>
          <w:tcPr/>
          <w:p>
            <w:pPr>
              <w:pStyle w:val="Compact"/>
              <w:jc w:val="left"/>
            </w:pPr>
            <w:r>
              <w:t xml:space="preserve">27%</w:t>
            </w:r>
          </w:p>
        </w:tc>
        <w:tc>
          <w:tcPr/>
          <w:p>
            <w:pPr>
              <w:pStyle w:val="Compact"/>
              <w:jc w:val="left"/>
            </w:pPr>
            <w:r>
              <w:t xml:space="preserve">50%</w:t>
            </w:r>
          </w:p>
        </w:tc>
      </w:tr>
      <w:tr>
        <w:tc>
          <w:tcPr/>
          <w:p>
            <w:pPr>
              <w:jc w:val="left"/>
            </w:pPr>
            <w:r>
              <w:t xml:space="preserve">Arbitrage with throughput penalty</w:t>
            </w:r>
          </w:p>
          <w:p>
            <w:pPr>
              <w:jc w:val="left"/>
            </w:pPr>
            <w:r>
              <w:t xml:space="preserve">(200,000 AUD/MWh)</w:t>
            </w:r>
          </w:p>
        </w:tc>
        <w:tc>
          <w:tcPr/>
          <w:p>
            <w:pPr>
              <w:pStyle w:val="Compact"/>
              <w:jc w:val="left"/>
            </w:pPr>
            <w:r>
              <w:t xml:space="preserve">11%</w:t>
            </w:r>
          </w:p>
        </w:tc>
        <w:tc>
          <w:tcPr/>
          <w:p>
            <w:pPr>
              <w:pStyle w:val="Compact"/>
              <w:jc w:val="left"/>
            </w:pPr>
            <w:r>
              <w:t xml:space="preserve">32%</w:t>
            </w:r>
          </w:p>
        </w:tc>
        <w:tc>
          <w:tcPr/>
          <w:p>
            <w:pPr>
              <w:pStyle w:val="Compact"/>
              <w:jc w:val="left"/>
            </w:pPr>
            <w:r>
              <w:t xml:space="preserve">68%</w:t>
            </w:r>
          </w:p>
        </w:tc>
      </w:tr>
      <w:tr>
        <w:tc>
          <w:tcPr/>
          <w:p>
            <w:pPr>
              <w:jc w:val="left"/>
            </w:pPr>
            <w:r>
              <w:t xml:space="preserve">Arbitrage with throughput penalty</w:t>
            </w:r>
          </w:p>
          <w:p>
            <w:pPr>
              <w:jc w:val="left"/>
            </w:pPr>
            <w:r>
              <w:t xml:space="preserve">(400,000 AUD/MWh)</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throughput penalty</w:t>
            </w:r>
          </w:p>
          <w:p>
            <w:pPr>
              <w:jc w:val="left"/>
            </w:pPr>
            <w:r>
              <w:t xml:space="preserve">(600,000 AUD/MWh)</w:t>
            </w:r>
          </w:p>
        </w:tc>
        <w:tc>
          <w:tcPr/>
          <w:p>
            <w:pPr>
              <w:pStyle w:val="Compact"/>
              <w:jc w:val="left"/>
            </w:pPr>
            <w:r>
              <w:t xml:space="preserve">13%</w:t>
            </w:r>
          </w:p>
        </w:tc>
        <w:tc>
          <w:tcPr/>
          <w:p>
            <w:pPr>
              <w:pStyle w:val="Compact"/>
              <w:jc w:val="left"/>
            </w:pPr>
            <w:r>
              <w:t xml:space="preserve">44%</w:t>
            </w:r>
          </w:p>
        </w:tc>
        <w:tc>
          <w:tcPr/>
          <w:p>
            <w:pPr>
              <w:pStyle w:val="Compact"/>
              <w:jc w:val="left"/>
            </w:pPr>
            <w:r>
              <w:t xml:space="preserve">78%</w:t>
            </w:r>
          </w:p>
        </w:tc>
      </w:tr>
      <w:tr>
        <w:tc>
          <w:tcPr/>
          <w:p>
            <w:pPr>
              <w:jc w:val="left"/>
            </w:pPr>
            <w:r>
              <w:t xml:space="preserve">Arbitrage with throughput penalty</w:t>
            </w:r>
          </w:p>
          <w:p>
            <w:pPr>
              <w:jc w:val="left"/>
            </w:pPr>
            <w:r>
              <w:t xml:space="preserve">(800,000 AUD/MWh)</w:t>
            </w:r>
          </w:p>
        </w:tc>
        <w:tc>
          <w:tcPr/>
          <w:p>
            <w:pPr>
              <w:pStyle w:val="Compact"/>
              <w:jc w:val="left"/>
            </w:pPr>
            <w:r>
              <w:t xml:space="preserve">14%</w:t>
            </w:r>
          </w:p>
        </w:tc>
        <w:tc>
          <w:tcPr/>
          <w:p>
            <w:pPr>
              <w:pStyle w:val="Compact"/>
              <w:jc w:val="left"/>
            </w:pPr>
            <w:r>
              <w:t xml:space="preserve">45%</w:t>
            </w:r>
          </w:p>
        </w:tc>
        <w:tc>
          <w:tcPr/>
          <w:p>
            <w:pPr>
              <w:pStyle w:val="Compact"/>
              <w:jc w:val="left"/>
            </w:pPr>
            <w:r>
              <w:t xml:space="preserve">86%</w:t>
            </w:r>
          </w:p>
        </w:tc>
      </w:tr>
      <w:tr>
        <w:tc>
          <w:tcPr/>
          <w:p>
            <w:pPr>
              <w:jc w:val="left"/>
            </w:pPr>
            <w:r>
              <w:t xml:space="preserve">Arbitrage with discounting</w:t>
            </w:r>
          </w:p>
          <w:p>
            <w:pPr>
              <w:jc w:val="left"/>
            </w:pPr>
            <w:r>
              <w:t xml:space="preserve">(exponential)</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discounting</w:t>
            </w:r>
          </w:p>
          <w:p>
            <w:pPr>
              <w:jc w:val="left"/>
            </w:pPr>
            <w:r>
              <w:t xml:space="preserve">(hyperbolic)</w:t>
            </w:r>
          </w:p>
        </w:tc>
        <w:tc>
          <w:tcPr/>
          <w:p>
            <w:pPr>
              <w:pStyle w:val="Compact"/>
              <w:jc w:val="left"/>
            </w:pPr>
            <w:r>
              <w:t xml:space="preserve">14%</w:t>
            </w:r>
          </w:p>
        </w:tc>
        <w:tc>
          <w:tcPr/>
          <w:p>
            <w:pPr>
              <w:pStyle w:val="Compact"/>
              <w:jc w:val="left"/>
            </w:pPr>
            <w:r>
              <w:t xml:space="preserve">29%</w:t>
            </w:r>
          </w:p>
        </w:tc>
        <w:tc>
          <w:tcPr/>
          <w:p>
            <w:pPr>
              <w:pStyle w:val="Compact"/>
              <w:jc w:val="left"/>
            </w:pPr>
            <w:r>
              <w:t xml:space="preserve">41%</w:t>
            </w:r>
          </w:p>
        </w:tc>
      </w:tr>
    </w:tbl>
    <w:bookmarkEnd w:id="392"/>
    <w:bookmarkEnd w:id="393"/>
    <w:bookmarkEnd w:id="394"/>
    <w:bookmarkStart w:id="395" w:name="sec:appendix-joss"/>
    <w:p>
      <w:pPr>
        <w:pStyle w:val="Heading1"/>
      </w:pPr>
      <w:r>
        <w:rPr>
          <w:rStyle w:val="SectionNumber"/>
        </w:rPr>
        <w:t xml:space="preserve">14</w:t>
      </w:r>
      <w:r>
        <w:tab/>
      </w:r>
      <w:r>
        <w:t xml:space="preserve">NEMSEER article published in the Journal of Open Source Software</w:t>
      </w:r>
    </w:p>
    <w:bookmarkEnd w:id="395"/>
    <w:bookmarkStart w:id="1166" w:name="references"/>
    <w:p>
      <w:pPr>
        <w:pStyle w:val="Heading1"/>
      </w:pPr>
      <w:r>
        <w:t xml:space="preserve">References</w:t>
      </w:r>
    </w:p>
    <w:bookmarkStart w:id="1165" w:name="refs"/>
    <w:bookmarkStart w:id="39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96"/>
    <w:bookmarkStart w:id="398" w:name="X5a70db932ff4717cfbc30f6fe285191ec112a17"/>
    <w:p>
      <w:pPr>
        <w:pStyle w:val="Bibliography"/>
      </w:pPr>
      <w:r>
        <w:t xml:space="preserve">Abbasy, A., 2012.</w:t>
      </w:r>
      <w:r>
        <w:t xml:space="preserve"> </w:t>
      </w:r>
      <w:hyperlink r:id="rId39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98"/>
    <w:bookmarkStart w:id="40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99">
        <w:r>
          <w:rPr>
            <w:rStyle w:val="Hyperlink"/>
          </w:rPr>
          <w:t xml:space="preserve">https://doi.org/10.1109/TSG.2016.2606490</w:t>
        </w:r>
      </w:hyperlink>
    </w:p>
    <w:bookmarkEnd w:id="400"/>
    <w:bookmarkStart w:id="401"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401"/>
    <w:bookmarkStart w:id="403"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402">
        <w:r>
          <w:rPr>
            <w:rStyle w:val="Hyperlink"/>
          </w:rPr>
          <w:t xml:space="preserve">https://doi.org/10.1016/j.erss.2021.102210</w:t>
        </w:r>
      </w:hyperlink>
    </w:p>
    <w:bookmarkEnd w:id="403"/>
    <w:bookmarkStart w:id="404"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404"/>
    <w:bookmarkStart w:id="406"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405">
        <w:r>
          <w:rPr>
            <w:rStyle w:val="Hyperlink"/>
          </w:rPr>
          <w:t xml:space="preserve">https://doi.org/10.1016/j.esr.2022.100812</w:t>
        </w:r>
      </w:hyperlink>
    </w:p>
    <w:bookmarkEnd w:id="406"/>
    <w:bookmarkStart w:id="408"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407">
        <w:r>
          <w:rPr>
            <w:rStyle w:val="Hyperlink"/>
          </w:rPr>
          <w:t xml:space="preserve">https://doi.org/10.2139/ssrn.3302569</w:t>
        </w:r>
      </w:hyperlink>
    </w:p>
    <w:bookmarkEnd w:id="408"/>
    <w:bookmarkStart w:id="410"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409">
        <w:r>
          <w:rPr>
            <w:rStyle w:val="Hyperlink"/>
          </w:rPr>
          <w:t xml:space="preserve">https://doi.org/10.1037/h0076860</w:t>
        </w:r>
      </w:hyperlink>
    </w:p>
    <w:bookmarkEnd w:id="410"/>
    <w:bookmarkStart w:id="412" w:name="ref-akramEnergyStorageShortTerm2020"/>
    <w:p>
      <w:pPr>
        <w:pStyle w:val="Bibliography"/>
      </w:pPr>
      <w:r>
        <w:t xml:space="preserve">Akram, U., Mithulananthan, N., Shah, R., Basit, S.A., 2020.</w:t>
      </w:r>
      <w:r>
        <w:t xml:space="preserve"> </w:t>
      </w:r>
      <w:hyperlink r:id="rId411">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412"/>
    <w:bookmarkStart w:id="414"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413">
        <w:r>
          <w:rPr>
            <w:rStyle w:val="Hyperlink"/>
          </w:rPr>
          <w:t xml:space="preserve">https://doi.org/10.1109/MPE.2020.3043679</w:t>
        </w:r>
      </w:hyperlink>
    </w:p>
    <w:bookmarkEnd w:id="414"/>
    <w:bookmarkStart w:id="416" w:name="X77edcbed99f6f778ba79668b9dd9185179dad4a"/>
    <w:p>
      <w:pPr>
        <w:pStyle w:val="Bibliography"/>
      </w:pPr>
      <w:r>
        <w:t xml:space="preserve">ASX Energy, 2021.</w:t>
      </w:r>
      <w:r>
        <w:t xml:space="preserve"> </w:t>
      </w:r>
      <w:hyperlink r:id="rId415">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416"/>
    <w:bookmarkStart w:id="418" w:name="ref-aureconLargeScaleBatteryStorage2019"/>
    <w:p>
      <w:pPr>
        <w:pStyle w:val="Bibliography"/>
      </w:pPr>
      <w:r>
        <w:t xml:space="preserve">Aurecon, 2019.</w:t>
      </w:r>
      <w:r>
        <w:t xml:space="preserve"> </w:t>
      </w:r>
      <w:hyperlink r:id="rId417">
        <w:r>
          <w:rPr>
            <w:rStyle w:val="Hyperlink"/>
          </w:rPr>
          <w:t xml:space="preserve">Large-</w:t>
        </w:r>
        <w:r>
          <w:rPr>
            <w:rStyle w:val="Hyperlink"/>
          </w:rPr>
          <w:t xml:space="preserve">Scale Battery Storage Knowledge Sharing Report</w:t>
        </w:r>
      </w:hyperlink>
      <w:r>
        <w:t xml:space="preserve">. ARENA.</w:t>
      </w:r>
    </w:p>
    <w:bookmarkEnd w:id="418"/>
    <w:bookmarkStart w:id="420" w:name="Xd02ea3f7bd4fee6de3a6c1d76c7696f271a845d"/>
    <w:p>
      <w:pPr>
        <w:pStyle w:val="Bibliography"/>
      </w:pPr>
      <w:r>
        <w:t xml:space="preserve">Aurecon Australasia, 2020.</w:t>
      </w:r>
      <w:r>
        <w:t xml:space="preserve"> </w:t>
      </w:r>
      <w:hyperlink r:id="rId419">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420"/>
    <w:bookmarkStart w:id="422" w:name="X283bd1f9c04cb560ec04fb7242924b44581eae3"/>
    <w:p>
      <w:pPr>
        <w:pStyle w:val="Bibliography"/>
      </w:pPr>
      <w:r>
        <w:t xml:space="preserve">Australian Energy Market Commission, n.d.b. Electricity supply chain [WWW Document]. URL</w:t>
      </w:r>
      <w:r>
        <w:t xml:space="preserve"> </w:t>
      </w:r>
      <w:hyperlink r:id="rId421">
        <w:r>
          <w:rPr>
            <w:rStyle w:val="Hyperlink"/>
          </w:rPr>
          <w:t xml:space="preserve">http://www.aemc.gov.au/energy-system/electricity/electricity-system/electricity-supply-chain</w:t>
        </w:r>
      </w:hyperlink>
      <w:r>
        <w:t xml:space="preserve"> </w:t>
      </w:r>
      <w:r>
        <w:t xml:space="preserve">(accessed 5.20.2022).</w:t>
      </w:r>
    </w:p>
    <w:bookmarkEnd w:id="422"/>
    <w:bookmarkStart w:id="424"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23">
        <w:r>
          <w:rPr>
            <w:rStyle w:val="Hyperlink"/>
          </w:rPr>
          <w:t xml:space="preserve">https://www.aemc.gov.au/energy-system/electricity/electricity-system/NEM</w:t>
        </w:r>
      </w:hyperlink>
      <w:r>
        <w:t xml:space="preserve"> </w:t>
      </w:r>
      <w:r>
        <w:t xml:space="preserve">(accessed 3.23.2021).</w:t>
      </w:r>
    </w:p>
    <w:bookmarkEnd w:id="424"/>
    <w:bookmarkStart w:id="426" w:name="Xea3ae63d8b69c500e302653fffaee1d1812cc46"/>
    <w:p>
      <w:pPr>
        <w:pStyle w:val="Bibliography"/>
      </w:pPr>
      <w:r>
        <w:t xml:space="preserve">Australian Energy Market Commission, 2023d.</w:t>
      </w:r>
      <w:r>
        <w:t xml:space="preserve"> </w:t>
      </w:r>
      <w:hyperlink r:id="rId425">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26"/>
    <w:bookmarkStart w:id="428" w:name="X7cd10b5bb4f7d82b95d75759a1410d2aac13b4c"/>
    <w:p>
      <w:pPr>
        <w:pStyle w:val="Bibliography"/>
      </w:pPr>
      <w:r>
        <w:t xml:space="preserve">Australian Energy Market Commission, 2023e.</w:t>
      </w:r>
      <w:r>
        <w:t xml:space="preserve"> </w:t>
      </w:r>
      <w:hyperlink r:id="rId42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28"/>
    <w:bookmarkStart w:id="430" w:name="X994c7e334ac07e1731024bc1c8d0ab8b72fd5e0"/>
    <w:p>
      <w:pPr>
        <w:pStyle w:val="Bibliography"/>
      </w:pPr>
      <w:r>
        <w:t xml:space="preserve">Australian Energy Market Commission, 2023g.</w:t>
      </w:r>
      <w:r>
        <w:t xml:space="preserve"> </w:t>
      </w:r>
      <w:hyperlink r:id="rId42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30"/>
    <w:bookmarkStart w:id="432" w:name="X12c4fd9d60c3d952e91a54340740f3ac9170baa"/>
    <w:p>
      <w:pPr>
        <w:pStyle w:val="Bibliography"/>
      </w:pPr>
      <w:r>
        <w:t xml:space="preserve">Australian Energy Market Commission, 2023a.</w:t>
      </w:r>
      <w:r>
        <w:t xml:space="preserve"> </w:t>
      </w:r>
      <w:hyperlink r:id="rId431">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32"/>
    <w:bookmarkStart w:id="434" w:name="X64cb2fe6e49a36991b21b63b3abf50276349dcc"/>
    <w:p>
      <w:pPr>
        <w:pStyle w:val="Bibliography"/>
      </w:pPr>
      <w:r>
        <w:t xml:space="preserve">Australian Energy Market Commission, 2023b.</w:t>
      </w:r>
      <w:r>
        <w:t xml:space="preserve"> </w:t>
      </w:r>
      <w:hyperlink r:id="rId433">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34"/>
    <w:bookmarkStart w:id="436" w:name="X78e59d1d15b288ccd8a531a9ed9df1b33aa4901"/>
    <w:p>
      <w:pPr>
        <w:pStyle w:val="Bibliography"/>
      </w:pPr>
      <w:r>
        <w:t xml:space="preserve">Australian Energy Market Commission, 2023c.</w:t>
      </w:r>
      <w:r>
        <w:t xml:space="preserve"> </w:t>
      </w:r>
      <w:hyperlink r:id="rId435">
        <w:r>
          <w:rPr>
            <w:rStyle w:val="Hyperlink"/>
          </w:rPr>
          <w:t xml:space="preserve">Operating reserve market directions paper</w:t>
        </w:r>
      </w:hyperlink>
      <w:r>
        <w:t xml:space="preserve">.</w:t>
      </w:r>
    </w:p>
    <w:bookmarkEnd w:id="436"/>
    <w:bookmarkStart w:id="438" w:name="X321fbc3d52bf94fb69cb9e75c08d3e641182754"/>
    <w:p>
      <w:pPr>
        <w:pStyle w:val="Bibliography"/>
      </w:pPr>
      <w:r>
        <w:t xml:space="preserve">Australian Energy Market Commission, 2023f.</w:t>
      </w:r>
      <w:r>
        <w:t xml:space="preserve"> </w:t>
      </w:r>
      <w:hyperlink r:id="rId437">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38"/>
    <w:bookmarkStart w:id="440" w:name="X8acf9a26c7b13f75647e96408c7da2f2a289169"/>
    <w:p>
      <w:pPr>
        <w:pStyle w:val="Bibliography"/>
      </w:pPr>
      <w:r>
        <w:t xml:space="preserve">Australian Energy Market Commission, 2022.</w:t>
      </w:r>
      <w:r>
        <w:t xml:space="preserve"> </w:t>
      </w:r>
      <w:hyperlink r:id="rId439">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0"/>
    <w:bookmarkStart w:id="441"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41"/>
    <w:bookmarkStart w:id="443" w:name="X8573e0f81a1da487a693f65a1b368ef6f7f3b5e"/>
    <w:p>
      <w:pPr>
        <w:pStyle w:val="Bibliography"/>
      </w:pPr>
      <w:r>
        <w:t xml:space="preserve">Australian Energy Market Commission, 2021d.</w:t>
      </w:r>
      <w:r>
        <w:t xml:space="preserve"> </w:t>
      </w:r>
      <w:hyperlink r:id="rId442">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3"/>
    <w:bookmarkStart w:id="444"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44"/>
    <w:bookmarkStart w:id="446" w:name="X4e15fbfc9c73a2296d46b736a9c7d1a5654655e"/>
    <w:p>
      <w:pPr>
        <w:pStyle w:val="Bibliography"/>
      </w:pPr>
      <w:r>
        <w:t xml:space="preserve">Australian Energy Market Commission, 2021c.</w:t>
      </w:r>
      <w:r>
        <w:t xml:space="preserve"> </w:t>
      </w:r>
      <w:hyperlink r:id="rId445">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46"/>
    <w:bookmarkStart w:id="448"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47">
        <w:r>
          <w:rPr>
            <w:rStyle w:val="Hyperlink"/>
          </w:rPr>
          <w:t xml:space="preserve">https://www.aemc.gov.au/news-centre/data-portal/annual-market-performance-review/2020</w:t>
        </w:r>
      </w:hyperlink>
      <w:r>
        <w:t xml:space="preserve"> </w:t>
      </w:r>
      <w:r>
        <w:t xml:space="preserve">(accessed 10.27.2021).</w:t>
      </w:r>
    </w:p>
    <w:bookmarkEnd w:id="448"/>
    <w:bookmarkStart w:id="449" w:name="X55ac5d59022fb8fc127e5e4f8e1b2f3c3feff8c"/>
    <w:p>
      <w:pPr>
        <w:pStyle w:val="Bibliography"/>
      </w:pPr>
      <w:r>
        <w:t xml:space="preserve">Australian Energy Market Commission, 2020c. Frequency control rule changes.</w:t>
      </w:r>
    </w:p>
    <w:bookmarkEnd w:id="449"/>
    <w:bookmarkStart w:id="450"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50"/>
    <w:bookmarkStart w:id="452" w:name="Xd4142d84741b5aa209fba18468ec215bc2183cf"/>
    <w:p>
      <w:pPr>
        <w:pStyle w:val="Bibliography"/>
      </w:pPr>
      <w:r>
        <w:t xml:space="preserve">Australian Energy Market Commission, 2020d.</w:t>
      </w:r>
      <w:r>
        <w:t xml:space="preserve"> </w:t>
      </w:r>
      <w:hyperlink r:id="rId451">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2"/>
    <w:bookmarkStart w:id="454" w:name="X357f29c2e65e2b54f2d2aa317d8b49a7b3e68f1"/>
    <w:p>
      <w:pPr>
        <w:pStyle w:val="Bibliography"/>
      </w:pPr>
      <w:r>
        <w:t xml:space="preserve">Australian Energy Market Commission, 2020e.</w:t>
      </w:r>
      <w:r>
        <w:t xml:space="preserve"> </w:t>
      </w:r>
      <w:hyperlink r:id="rId453">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4"/>
    <w:bookmarkStart w:id="455"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55"/>
    <w:bookmarkStart w:id="456"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56"/>
    <w:bookmarkStart w:id="458" w:name="Xb3436a2eee6cc81ec2eed9434eec7793f348374"/>
    <w:p>
      <w:pPr>
        <w:pStyle w:val="Bibliography"/>
      </w:pPr>
      <w:r>
        <w:t xml:space="preserve">Australian Energy Market Commission, 2017.</w:t>
      </w:r>
      <w:r>
        <w:t xml:space="preserve"> </w:t>
      </w:r>
      <w:hyperlink r:id="rId457">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58"/>
    <w:bookmarkStart w:id="460" w:name="X122c867e6dde1f00e4486b24c752821f4d73d2a"/>
    <w:p>
      <w:pPr>
        <w:pStyle w:val="Bibliography"/>
      </w:pPr>
      <w:r>
        <w:t xml:space="preserve">Australian Energy Market Commission, 2016.</w:t>
      </w:r>
      <w:r>
        <w:t xml:space="preserve"> </w:t>
      </w:r>
      <w:hyperlink r:id="rId459">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60"/>
    <w:bookmarkStart w:id="462" w:name="Xe8c300eeae062e2ed8ee4727d274c4396c5dbff"/>
    <w:p>
      <w:pPr>
        <w:pStyle w:val="Bibliography"/>
      </w:pPr>
      <w:r>
        <w:t xml:space="preserve">Australian Energy Market Commission, 2015.</w:t>
      </w:r>
      <w:r>
        <w:t xml:space="preserve"> </w:t>
      </w:r>
      <w:hyperlink r:id="rId461">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62"/>
    <w:bookmarkStart w:id="464" w:name="X69b6505f7439c279a132e5425c5d610e080361d"/>
    <w:p>
      <w:pPr>
        <w:pStyle w:val="Bibliography"/>
      </w:pPr>
      <w:r>
        <w:t xml:space="preserve">Australian Energy Market Commission Reliability Panel, 2022.</w:t>
      </w:r>
      <w:r>
        <w:t xml:space="preserve"> </w:t>
      </w:r>
      <w:hyperlink r:id="rId463">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64"/>
    <w:bookmarkStart w:id="466" w:name="Xfeb2de1ac1725393bea77ea1338cf7492788c4f"/>
    <w:p>
      <w:pPr>
        <w:pStyle w:val="Bibliography"/>
      </w:pPr>
      <w:r>
        <w:t xml:space="preserve">Australian Energy Market Commission Reliability Panel, 2020.</w:t>
      </w:r>
      <w:r>
        <w:t xml:space="preserve"> </w:t>
      </w:r>
      <w:hyperlink r:id="rId465">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66"/>
    <w:bookmarkStart w:id="467"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67"/>
    <w:bookmarkStart w:id="469" w:name="Xc217b8abd9a98bd90a8ef2d1cb9dc2560b3200f"/>
    <w:p>
      <w:pPr>
        <w:pStyle w:val="Bibliography"/>
      </w:pPr>
      <w:r>
        <w:t xml:space="preserve">Australian Energy Market Operator, n.d. Pre dispatch [WWW Document]. URL</w:t>
      </w:r>
      <w:r>
        <w:t xml:space="preserve"> </w:t>
      </w:r>
      <w:hyperlink r:id="rId468">
        <w:r>
          <w:rPr>
            <w:rStyle w:val="Hyperlink"/>
          </w:rPr>
          <w:t xml:space="preserve">https://aemo.com.au/energy-systems/electricity/national-electricity-market-nem/data-nem/market-management-system-mms-data/pre-dispatch</w:t>
        </w:r>
      </w:hyperlink>
      <w:r>
        <w:t xml:space="preserve"> </w:t>
      </w:r>
      <w:r>
        <w:t xml:space="preserve">(accessed 5.24.2022).</w:t>
      </w:r>
    </w:p>
    <w:bookmarkEnd w:id="469"/>
    <w:bookmarkStart w:id="471"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70">
        <w:r>
          <w:rPr>
            <w:rStyle w:val="Hyperlink"/>
          </w:rPr>
          <w:t xml:space="preserve">https://visualisations.aemo.com.au/aemo/nemweb/index.html#mms-data-model</w:t>
        </w:r>
      </w:hyperlink>
      <w:r>
        <w:t xml:space="preserve"> </w:t>
      </w:r>
      <w:r>
        <w:t xml:space="preserve">(accessed 8.16.2023).</w:t>
      </w:r>
    </w:p>
    <w:bookmarkEnd w:id="471"/>
    <w:bookmarkStart w:id="473" w:name="Xd5517a5b21f55ef4d6be4f7cb132ac0de4944a7"/>
    <w:p>
      <w:pPr>
        <w:pStyle w:val="Bibliography"/>
      </w:pPr>
      <w:r>
        <w:t xml:space="preserve">Australian Energy Market Operator, 2023a. Industry overview [WWW Document]. URL</w:t>
      </w:r>
      <w:r>
        <w:t xml:space="preserve"> </w:t>
      </w:r>
      <w:hyperlink r:id="rId472">
        <w:r>
          <w:rPr>
            <w:rStyle w:val="Hyperlink"/>
          </w:rPr>
          <w:t xml:space="preserve">https://aemo.com.au/learn/energy-explained/energy-101/industry-overview</w:t>
        </w:r>
      </w:hyperlink>
      <w:r>
        <w:t xml:space="preserve"> </w:t>
      </w:r>
      <w:r>
        <w:t xml:space="preserve">(accessed 10.25.2023).</w:t>
      </w:r>
    </w:p>
    <w:bookmarkEnd w:id="473"/>
    <w:bookmarkStart w:id="475"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74">
        <w:r>
          <w:rPr>
            <w:rStyle w:val="Hyperlink"/>
          </w:rPr>
          <w:t xml:space="preserve">https://nemweb.com.au/Reports/Current/MMSDataModelReport/Electricity/MMS%20Data%20Model%20Report.htm</w:t>
        </w:r>
      </w:hyperlink>
      <w:r>
        <w:t xml:space="preserve"> </w:t>
      </w:r>
      <w:r>
        <w:t xml:space="preserve">(accessed 8.23.2023).</w:t>
      </w:r>
    </w:p>
    <w:bookmarkEnd w:id="475"/>
    <w:bookmarkStart w:id="477" w:name="Xd3c45b1d934e599a74ed601f32b0713013a661c"/>
    <w:p>
      <w:pPr>
        <w:pStyle w:val="Bibliography"/>
      </w:pPr>
      <w:r>
        <w:t xml:space="preserve">Australian Energy Market Operator, 2023f.</w:t>
      </w:r>
      <w:r>
        <w:t xml:space="preserve"> </w:t>
      </w:r>
      <w:hyperlink r:id="rId476">
        <w:r>
          <w:rPr>
            <w:rStyle w:val="Hyperlink"/>
          </w:rPr>
          <w:t xml:space="preserve">Monthly</w:t>
        </w:r>
        <w:r>
          <w:rPr>
            <w:rStyle w:val="Hyperlink"/>
          </w:rPr>
          <w:t xml:space="preserve"> </w:t>
        </w:r>
        <w:r>
          <w:rPr>
            <w:rStyle w:val="Hyperlink"/>
          </w:rPr>
          <w:t xml:space="preserve">Constraint Report</w:t>
        </w:r>
      </w:hyperlink>
      <w:r>
        <w:t xml:space="preserve">.</w:t>
      </w:r>
    </w:p>
    <w:bookmarkEnd w:id="477"/>
    <w:bookmarkStart w:id="47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78">
        <w:r>
          <w:rPr>
            <w:rStyle w:val="Hyperlink"/>
          </w:rPr>
          <w:t xml:space="preserve">https://aemo.com.au/energy-systems/electricity/national-electricity-market-nem/data-nem/market-data-nemweb</w:t>
        </w:r>
      </w:hyperlink>
      <w:r>
        <w:t xml:space="preserve"> </w:t>
      </w:r>
      <w:r>
        <w:t xml:space="preserve">(accessed 9.26.2023).</w:t>
      </w:r>
    </w:p>
    <w:bookmarkEnd w:id="479"/>
    <w:bookmarkStart w:id="481" w:name="Xb21f952393cf7cc0ace8bfbf36b541daafcd1f6"/>
    <w:p>
      <w:pPr>
        <w:pStyle w:val="Bibliography"/>
      </w:pPr>
      <w:r>
        <w:t xml:space="preserve">Australian Energy Market Operator, 2023g.</w:t>
      </w:r>
      <w:r>
        <w:t xml:space="preserve"> </w:t>
      </w:r>
      <w:hyperlink r:id="rId48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2023</w:t>
        </w:r>
      </w:hyperlink>
      <w:r>
        <w:t xml:space="preserve">.</w:t>
      </w:r>
    </w:p>
    <w:bookmarkEnd w:id="481"/>
    <w:bookmarkStart w:id="483" w:name="Xf42c037d76aa767d185d5eb4d6d300aea4a5eef"/>
    <w:p>
      <w:pPr>
        <w:pStyle w:val="Bibliography"/>
      </w:pPr>
      <w:r>
        <w:t xml:space="preserve">Australian Energy Market Operator, 2023e.</w:t>
      </w:r>
      <w:r>
        <w:t xml:space="preserve"> </w:t>
      </w:r>
      <w:hyperlink r:id="rId48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83"/>
    <w:bookmarkStart w:id="485" w:name="X9f14554c9fbab180f0895f001a9e72329973dfa"/>
    <w:p>
      <w:pPr>
        <w:pStyle w:val="Bibliography"/>
      </w:pPr>
      <w:r>
        <w:t xml:space="preserve">Australian Energy Market Operator, 2022c.</w:t>
      </w:r>
      <w:r>
        <w:t xml:space="preserve"> </w:t>
      </w:r>
      <w:hyperlink r:id="rId484">
        <w:r>
          <w:rPr>
            <w:rStyle w:val="Hyperlink"/>
          </w:rPr>
          <w:t xml:space="preserve">2022</w:t>
        </w:r>
        <w:r>
          <w:rPr>
            <w:rStyle w:val="Hyperlink"/>
          </w:rPr>
          <w:t xml:space="preserve"> </w:t>
        </w:r>
        <w:r>
          <w:rPr>
            <w:rStyle w:val="Hyperlink"/>
          </w:rPr>
          <w:t xml:space="preserve">Integrated System Plan</w:t>
        </w:r>
      </w:hyperlink>
      <w:r>
        <w:t xml:space="preserve">.</w:t>
      </w:r>
    </w:p>
    <w:bookmarkEnd w:id="485"/>
    <w:bookmarkStart w:id="487"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8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87"/>
    <w:bookmarkStart w:id="48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88">
        <w:r>
          <w:rPr>
            <w:rStyle w:val="Hyperlink"/>
          </w:rPr>
          <w:t xml:space="preserve">https://aemo.com.au/initiatives/major-programs/past-major-programs/five-minute-settlement/5ms-program-management/5ms-commencement</w:t>
        </w:r>
      </w:hyperlink>
      <w:r>
        <w:t xml:space="preserve"> </w:t>
      </w:r>
      <w:r>
        <w:t xml:space="preserve">(accessed 5.23.2022).</w:t>
      </w:r>
    </w:p>
    <w:bookmarkEnd w:id="489"/>
    <w:bookmarkStart w:id="491" w:name="X89e1d13a06c4fc4983081ee3d5bd31282b28c9b"/>
    <w:p>
      <w:pPr>
        <w:pStyle w:val="Bibliography"/>
      </w:pPr>
      <w:r>
        <w:t xml:space="preserve">Australian Energy Market Operator, 2022a. Generation information [WWW Document]. URL</w:t>
      </w:r>
      <w:r>
        <w:t xml:space="preserve"> </w:t>
      </w:r>
      <w:hyperlink r:id="rId49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91"/>
    <w:bookmarkStart w:id="493" w:name="X198fdb16c8fc7a35b09e2bd06fa55d9778dea13"/>
    <w:p>
      <w:pPr>
        <w:pStyle w:val="Bibliography"/>
      </w:pPr>
      <w:r>
        <w:t xml:space="preserve">Australian Energy Market Operator, 2022d.</w:t>
      </w:r>
      <w:r>
        <w:t xml:space="preserve"> </w:t>
      </w:r>
      <w:hyperlink r:id="rId49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93"/>
    <w:bookmarkStart w:id="495" w:name="Xb91d3f7719a14812ad8aec279c619e95af7470b"/>
    <w:p>
      <w:pPr>
        <w:pStyle w:val="Bibliography"/>
      </w:pPr>
      <w:r>
        <w:t xml:space="preserve">Australian Energy Market Operator, 2022e.</w:t>
      </w:r>
      <w:r>
        <w:t xml:space="preserve"> </w:t>
      </w:r>
      <w:hyperlink r:id="rId49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95"/>
    <w:bookmarkStart w:id="497" w:name="X2be6cc22a49955f8f33216e2ee7e30f4d5251f3"/>
    <w:p>
      <w:pPr>
        <w:pStyle w:val="Bibliography"/>
      </w:pPr>
      <w:r>
        <w:t xml:space="preserve">Australian Energy Market Operator, 2022g.</w:t>
      </w:r>
      <w:r>
        <w:t xml:space="preserve"> </w:t>
      </w:r>
      <w:hyperlink r:id="rId49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97"/>
    <w:bookmarkStart w:id="49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98"/>
    <w:bookmarkStart w:id="49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99"/>
    <w:bookmarkStart w:id="501" w:name="X3f3bf6f6062ae28ac207f19cca41ed92cbea4fc"/>
    <w:p>
      <w:pPr>
        <w:pStyle w:val="Bibliography"/>
      </w:pPr>
      <w:r>
        <w:t xml:space="preserve">Australian Energy Market Operator, 2021f.</w:t>
      </w:r>
      <w:r>
        <w:t xml:space="preserve"> </w:t>
      </w:r>
      <w:hyperlink r:id="rId50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501"/>
    <w:bookmarkStart w:id="50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502"/>
    <w:bookmarkStart w:id="50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503"/>
    <w:bookmarkStart w:id="50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504"/>
    <w:bookmarkStart w:id="506" w:name="X5b5be612faa4540a649c1fcf2dc213ae48fcd46"/>
    <w:p>
      <w:pPr>
        <w:pStyle w:val="Bibliography"/>
      </w:pPr>
      <w:r>
        <w:t xml:space="preserve">Australian Energy Market Operator, 2021t.</w:t>
      </w:r>
      <w:r>
        <w:t xml:space="preserve"> </w:t>
      </w:r>
      <w:hyperlink r:id="rId505">
        <w:r>
          <w:rPr>
            <w:rStyle w:val="Hyperlink"/>
          </w:rPr>
          <w:t xml:space="preserve">Fast-</w:t>
        </w:r>
        <w:r>
          <w:rPr>
            <w:rStyle w:val="Hyperlink"/>
          </w:rPr>
          <w:t xml:space="preserve">Start Inflexibility Profile</w:t>
        </w:r>
      </w:hyperlink>
      <w:r>
        <w:t xml:space="preserve">.</w:t>
      </w:r>
    </w:p>
    <w:bookmarkEnd w:id="506"/>
    <w:bookmarkStart w:id="50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507"/>
    <w:bookmarkStart w:id="50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508"/>
    <w:bookmarkStart w:id="510" w:name="X44d768d81d613e16b25b3de40970f9e3d2bdc6b"/>
    <w:p>
      <w:pPr>
        <w:pStyle w:val="Bibliography"/>
      </w:pPr>
      <w:r>
        <w:t xml:space="preserve">Australian Energy Market Operator, 2021r.</w:t>
      </w:r>
      <w:r>
        <w:t xml:space="preserve"> </w:t>
      </w:r>
      <w:hyperlink r:id="rId509">
        <w:r>
          <w:rPr>
            <w:rStyle w:val="Hyperlink"/>
          </w:rPr>
          <w:t xml:space="preserve">Medium</w:t>
        </w:r>
        <w:r>
          <w:rPr>
            <w:rStyle w:val="Hyperlink"/>
          </w:rPr>
          <w:t xml:space="preserve"> </w:t>
        </w:r>
        <w:r>
          <w:rPr>
            <w:rStyle w:val="Hyperlink"/>
          </w:rPr>
          <w:t xml:space="preserve">Term PASA Process Description</w:t>
        </w:r>
      </w:hyperlink>
      <w:r>
        <w:t xml:space="preserve">.</w:t>
      </w:r>
    </w:p>
    <w:bookmarkEnd w:id="510"/>
    <w:bookmarkStart w:id="51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511"/>
    <w:bookmarkStart w:id="513" w:name="Xc80a4ce6e97b6d6e54021b39f96d3cb38ebe560"/>
    <w:p>
      <w:pPr>
        <w:pStyle w:val="Bibliography"/>
      </w:pPr>
      <w:r>
        <w:t xml:space="preserve">Australian Energy Market Operator, 2021l.</w:t>
      </w:r>
      <w:r>
        <w:t xml:space="preserve"> </w:t>
      </w:r>
      <w:hyperlink r:id="rId512">
        <w:r>
          <w:rPr>
            <w:rStyle w:val="Hyperlink"/>
          </w:rPr>
          <w:t xml:space="preserve">Operating the grid with high roof-top solar generation</w:t>
        </w:r>
      </w:hyperlink>
      <w:r>
        <w:t xml:space="preserve">.</w:t>
      </w:r>
    </w:p>
    <w:bookmarkEnd w:id="513"/>
    <w:bookmarkStart w:id="515" w:name="X138fae50e25c01b7409075b0a50e9911ea1d9a1"/>
    <w:p>
      <w:pPr>
        <w:pStyle w:val="Bibliography"/>
      </w:pPr>
      <w:r>
        <w:t xml:space="preserve">Australian Energy Market Operator, 2021k.</w:t>
      </w:r>
      <w:r>
        <w:t xml:space="preserve"> </w:t>
      </w:r>
      <w:hyperlink r:id="rId514">
        <w:r>
          <w:rPr>
            <w:rStyle w:val="Hyperlink"/>
          </w:rPr>
          <w:t xml:space="preserve">Pre-dispatch operating procedure</w:t>
        </w:r>
      </w:hyperlink>
      <w:r>
        <w:t xml:space="preserve">.</w:t>
      </w:r>
    </w:p>
    <w:bookmarkEnd w:id="515"/>
    <w:bookmarkStart w:id="517" w:name="X0602c29f6776959539c049d0a18ec3c3d6c7a73"/>
    <w:p>
      <w:pPr>
        <w:pStyle w:val="Bibliography"/>
      </w:pPr>
      <w:r>
        <w:t xml:space="preserve">Australian Energy Market Operator, 2021m.</w:t>
      </w:r>
      <w:r>
        <w:t xml:space="preserve"> </w:t>
      </w:r>
      <w:hyperlink r:id="rId516">
        <w:r>
          <w:rPr>
            <w:rStyle w:val="Hyperlink"/>
          </w:rPr>
          <w:t xml:space="preserve">Pre-</w:t>
        </w:r>
        <w:r>
          <w:rPr>
            <w:rStyle w:val="Hyperlink"/>
          </w:rPr>
          <w:t xml:space="preserve">Dispatch Sensitivities</w:t>
        </w:r>
      </w:hyperlink>
      <w:r>
        <w:t xml:space="preserve">.</w:t>
      </w:r>
    </w:p>
    <w:bookmarkEnd w:id="517"/>
    <w:bookmarkStart w:id="51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518"/>
    <w:bookmarkStart w:id="51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519"/>
    <w:bookmarkStart w:id="521" w:name="X1b9947b238752c85f6bf6eb49b95e3a5c6a007a"/>
    <w:p>
      <w:pPr>
        <w:pStyle w:val="Bibliography"/>
      </w:pPr>
      <w:r>
        <w:t xml:space="preserve">Australian Energy Market Operator, 2021s.</w:t>
      </w:r>
      <w:r>
        <w:t xml:space="preserve"> </w:t>
      </w:r>
      <w:hyperlink r:id="rId52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2021</w:t>
        </w:r>
      </w:hyperlink>
      <w:r>
        <w:t xml:space="preserve">.</w:t>
      </w:r>
    </w:p>
    <w:bookmarkEnd w:id="521"/>
    <w:bookmarkStart w:id="523" w:name="X25d6c8931f34b0888aef1a4b1f37d38df3544a3"/>
    <w:p>
      <w:pPr>
        <w:pStyle w:val="Bibliography"/>
      </w:pPr>
      <w:r>
        <w:t xml:space="preserve">Australian Energy Market Operator, 2021n.</w:t>
      </w:r>
      <w:r>
        <w:t xml:space="preserve"> </w:t>
      </w:r>
      <w:hyperlink r:id="rId522">
        <w:r>
          <w:rPr>
            <w:rStyle w:val="Hyperlink"/>
          </w:rPr>
          <w:t xml:space="preserve">Short</w:t>
        </w:r>
        <w:r>
          <w:rPr>
            <w:rStyle w:val="Hyperlink"/>
          </w:rPr>
          <w:t xml:space="preserve"> </w:t>
        </w:r>
        <w:r>
          <w:rPr>
            <w:rStyle w:val="Hyperlink"/>
          </w:rPr>
          <w:t xml:space="preserve">Term Reserve Management</w:t>
        </w:r>
      </w:hyperlink>
      <w:r>
        <w:t xml:space="preserve">.</w:t>
      </w:r>
    </w:p>
    <w:bookmarkEnd w:id="523"/>
    <w:bookmarkStart w:id="525" w:name="X382c5e84eb8f340a2921013cac9d3543b7cc98e"/>
    <w:p>
      <w:pPr>
        <w:pStyle w:val="Bibliography"/>
      </w:pPr>
      <w:r>
        <w:t xml:space="preserve">Australian Energy Market Operator, 2021q.</w:t>
      </w:r>
      <w:r>
        <w:t xml:space="preserve"> </w:t>
      </w:r>
      <w:hyperlink r:id="rId524">
        <w:r>
          <w:rPr>
            <w:rStyle w:val="Hyperlink"/>
          </w:rPr>
          <w:t xml:space="preserve">Spot</w:t>
        </w:r>
        <w:r>
          <w:rPr>
            <w:rStyle w:val="Hyperlink"/>
          </w:rPr>
          <w:t xml:space="preserve"> </w:t>
        </w:r>
        <w:r>
          <w:rPr>
            <w:rStyle w:val="Hyperlink"/>
          </w:rPr>
          <w:t xml:space="preserve">Market Operations Timetable</w:t>
        </w:r>
      </w:hyperlink>
      <w:r>
        <w:t xml:space="preserve">.</w:t>
      </w:r>
    </w:p>
    <w:bookmarkEnd w:id="525"/>
    <w:bookmarkStart w:id="52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526"/>
    <w:bookmarkStart w:id="528" w:name="X42f043549b7193d693ae6e1802f73c9d642ba94"/>
    <w:p>
      <w:pPr>
        <w:pStyle w:val="Bibliography"/>
      </w:pPr>
      <w:r>
        <w:t xml:space="preserve">Australian Energy Market Operator, 2020b.</w:t>
      </w:r>
      <w:r>
        <w:t xml:space="preserve"> </w:t>
      </w:r>
      <w:hyperlink r:id="rId52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28"/>
    <w:bookmarkStart w:id="530" w:name="X0e5a15395ae87400b0bd32f617ab7fb54b9a292"/>
    <w:p>
      <w:pPr>
        <w:pStyle w:val="Bibliography"/>
      </w:pPr>
      <w:r>
        <w:t xml:space="preserve">Australian Energy Market Operator, 2020h.</w:t>
      </w:r>
      <w:r>
        <w:t xml:space="preserve"> </w:t>
      </w:r>
      <w:hyperlink r:id="rId52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30"/>
    <w:bookmarkStart w:id="53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31"/>
    <w:bookmarkStart w:id="533" w:name="X0be2f5c022c6778c7c7f47026236c7b27614cd9"/>
    <w:p>
      <w:pPr>
        <w:pStyle w:val="Bibliography"/>
      </w:pPr>
      <w:r>
        <w:t xml:space="preserve">Australian Energy Market Operator, 2020c.</w:t>
      </w:r>
      <w:r>
        <w:t xml:space="preserve"> </w:t>
      </w:r>
      <w:hyperlink r:id="rId532">
        <w:r>
          <w:rPr>
            <w:rStyle w:val="Hyperlink"/>
          </w:rPr>
          <w:t xml:space="preserve">2020</w:t>
        </w:r>
        <w:r>
          <w:rPr>
            <w:rStyle w:val="Hyperlink"/>
          </w:rPr>
          <w:t xml:space="preserve"> </w:t>
        </w:r>
        <w:r>
          <w:rPr>
            <w:rStyle w:val="Hyperlink"/>
          </w:rPr>
          <w:t xml:space="preserve">ISP Generation Outlook</w:t>
        </w:r>
      </w:hyperlink>
      <w:r>
        <w:t xml:space="preserve">.</w:t>
      </w:r>
    </w:p>
    <w:bookmarkEnd w:id="533"/>
    <w:bookmarkStart w:id="53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9">
        <w:r>
          <w:rPr>
            <w:rStyle w:val="Hyperlink"/>
          </w:rPr>
          <w:t xml:space="preserve">https://aemo.com.au/energy-systems/major-publications/integrated-system-plan-isp/2020-integrated-system-plan-isp</w:t>
        </w:r>
      </w:hyperlink>
    </w:p>
    <w:bookmarkEnd w:id="534"/>
    <w:bookmarkStart w:id="536" w:name="X65c327332b0f72f124cbb058ff6ac08f30604c6"/>
    <w:p>
      <w:pPr>
        <w:pStyle w:val="Bibliography"/>
      </w:pPr>
      <w:r>
        <w:t xml:space="preserve">Australian Energy Market Operator, 2020q.</w:t>
      </w:r>
      <w:r>
        <w:t xml:space="preserve"> </w:t>
      </w:r>
      <w:hyperlink r:id="rId53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36"/>
    <w:bookmarkStart w:id="538" w:name="Xd43c1f939d4c5d69d09a027ec16e3a75d5de0ce"/>
    <w:p>
      <w:pPr>
        <w:pStyle w:val="Bibliography"/>
      </w:pPr>
      <w:r>
        <w:t xml:space="preserve">Australian Energy Market Operator, 2020r.</w:t>
      </w:r>
      <w:r>
        <w:t xml:space="preserve"> </w:t>
      </w:r>
      <w:hyperlink r:id="rId53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38"/>
    <w:bookmarkStart w:id="53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39"/>
    <w:bookmarkStart w:id="540" w:name="X25d4e8862632231c092922d0533da768306b12c"/>
    <w:p>
      <w:pPr>
        <w:pStyle w:val="Bibliography"/>
      </w:pPr>
      <w:r>
        <w:t xml:space="preserve">Australian Energy Market Operator, 2020i. Market ancillary service specification.</w:t>
      </w:r>
    </w:p>
    <w:bookmarkEnd w:id="540"/>
    <w:bookmarkStart w:id="54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41"/>
    <w:bookmarkStart w:id="54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42"/>
    <w:bookmarkStart w:id="54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43"/>
    <w:bookmarkStart w:id="545" w:name="X32f514c2fd5da416d4352e544a7bc9b85a2b767"/>
    <w:p>
      <w:pPr>
        <w:pStyle w:val="Bibliography"/>
      </w:pPr>
      <w:r>
        <w:t xml:space="preserve">Australian Energy Market Operator, 2020p.</w:t>
      </w:r>
      <w:r>
        <w:t xml:space="preserve"> </w:t>
      </w:r>
      <w:hyperlink r:id="rId54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45"/>
    <w:bookmarkStart w:id="54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46"/>
    <w:bookmarkStart w:id="54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47"/>
    <w:bookmarkStart w:id="54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48"/>
    <w:bookmarkStart w:id="550" w:name="X5e2d82d153e5cde3cf88002258cc05e2f463f72"/>
    <w:p>
      <w:pPr>
        <w:pStyle w:val="Bibliography"/>
      </w:pPr>
      <w:r>
        <w:t xml:space="preserve">Australian Energy Market Operator, 2020e.</w:t>
      </w:r>
      <w:r>
        <w:t xml:space="preserve"> </w:t>
      </w:r>
      <w:hyperlink r:id="rId54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50"/>
    <w:bookmarkStart w:id="55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51"/>
    <w:bookmarkStart w:id="553" w:name="X3f3a611a4aac621679da42392957269bd79b28f"/>
    <w:p>
      <w:pPr>
        <w:pStyle w:val="Bibliography"/>
      </w:pPr>
      <w:r>
        <w:t xml:space="preserve">Australian Energy Market Operator, 2020o.</w:t>
      </w:r>
      <w:r>
        <w:t xml:space="preserve"> </w:t>
      </w:r>
      <w:hyperlink r:id="rId55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53"/>
    <w:bookmarkStart w:id="55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5"/>
    <w:bookmarkStart w:id="55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6"/>
    <w:bookmarkStart w:id="55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57"/>
    <w:bookmarkStart w:id="55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58"/>
    <w:bookmarkStart w:id="55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59"/>
    <w:bookmarkStart w:id="56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60"/>
    <w:bookmarkStart w:id="56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61"/>
    <w:bookmarkStart w:id="563" w:name="X4987a8262f6f92063ffda336c2631f4f0954a6a"/>
    <w:p>
      <w:pPr>
        <w:pStyle w:val="Bibliography"/>
      </w:pPr>
      <w:r>
        <w:t xml:space="preserve">Australian Energy Market Operator, 2018a.</w:t>
      </w:r>
      <w:r>
        <w:t xml:space="preserve"> </w:t>
      </w:r>
      <w:hyperlink r:id="rId56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63"/>
    <w:bookmarkStart w:id="56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64"/>
    <w:bookmarkStart w:id="565" w:name="X677accbfeb336ffeb381645c930e4110a8b0447"/>
    <w:p>
      <w:pPr>
        <w:pStyle w:val="Bibliography"/>
      </w:pPr>
      <w:r>
        <w:t xml:space="preserve">Australian Energy Market Operator, 2018c. Inertia requirements methodology: Inertia requirements &amp; shortfalls.</w:t>
      </w:r>
    </w:p>
    <w:bookmarkEnd w:id="565"/>
    <w:bookmarkStart w:id="56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66"/>
    <w:bookmarkStart w:id="56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67"/>
    <w:bookmarkStart w:id="569" w:name="X5c182828f385588cc99aab2cf38eca38b2183a4"/>
    <w:p>
      <w:pPr>
        <w:pStyle w:val="Bibliography"/>
      </w:pPr>
      <w:r>
        <w:t xml:space="preserve">Australian Energy Market Operator, 2018g.</w:t>
      </w:r>
      <w:r>
        <w:t xml:space="preserve"> </w:t>
      </w:r>
      <w:hyperlink r:id="rId568">
        <w:r>
          <w:rPr>
            <w:rStyle w:val="Hyperlink"/>
          </w:rPr>
          <w:t xml:space="preserve">Reserve</w:t>
        </w:r>
        <w:r>
          <w:rPr>
            <w:rStyle w:val="Hyperlink"/>
          </w:rPr>
          <w:t xml:space="preserve"> </w:t>
        </w:r>
        <w:r>
          <w:rPr>
            <w:rStyle w:val="Hyperlink"/>
          </w:rPr>
          <w:t xml:space="preserve">Level Declaration Guidelines</w:t>
        </w:r>
      </w:hyperlink>
      <w:r>
        <w:t xml:space="preserve">.</w:t>
      </w:r>
    </w:p>
    <w:bookmarkEnd w:id="569"/>
    <w:bookmarkStart w:id="57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70"/>
    <w:bookmarkStart w:id="57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71"/>
    <w:bookmarkStart w:id="57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72"/>
    <w:bookmarkStart w:id="57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73"/>
    <w:bookmarkStart w:id="57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74"/>
    <w:bookmarkStart w:id="57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75"/>
    <w:bookmarkStart w:id="57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76"/>
    <w:bookmarkStart w:id="578" w:name="ref-aemoTreatmentLossFactors2012"/>
    <w:p>
      <w:pPr>
        <w:pStyle w:val="Bibliography"/>
      </w:pPr>
      <w:r>
        <w:t xml:space="preserve">Australian Energy Market Operator, 2012b.</w:t>
      </w:r>
      <w:r>
        <w:t xml:space="preserve"> </w:t>
      </w:r>
      <w:hyperlink r:id="rId577">
        <w:r>
          <w:rPr>
            <w:rStyle w:val="Hyperlink"/>
          </w:rPr>
          <w:t xml:space="preserve">Treatment of loss factors in the national electricity market</w:t>
        </w:r>
      </w:hyperlink>
      <w:r>
        <w:t xml:space="preserve">.</w:t>
      </w:r>
    </w:p>
    <w:bookmarkEnd w:id="578"/>
    <w:bookmarkStart w:id="580" w:name="X3d4c8dbacd98ce489f3f9224cc3851ddc516c4d"/>
    <w:p>
      <w:pPr>
        <w:pStyle w:val="Bibliography"/>
      </w:pPr>
      <w:r>
        <w:t xml:space="preserve">Australian Energy Market Operator, 2012a.</w:t>
      </w:r>
      <w:r>
        <w:t xml:space="preserve"> </w:t>
      </w:r>
      <w:hyperlink r:id="rId579">
        <w:r>
          <w:rPr>
            <w:rStyle w:val="Hyperlink"/>
          </w:rPr>
          <w:t xml:space="preserve">Short</w:t>
        </w:r>
        <w:r>
          <w:rPr>
            <w:rStyle w:val="Hyperlink"/>
          </w:rPr>
          <w:t xml:space="preserve"> </w:t>
        </w:r>
        <w:r>
          <w:rPr>
            <w:rStyle w:val="Hyperlink"/>
          </w:rPr>
          <w:t xml:space="preserve">Term PASA Process Description</w:t>
        </w:r>
      </w:hyperlink>
      <w:r>
        <w:t xml:space="preserve">.</w:t>
      </w:r>
    </w:p>
    <w:bookmarkEnd w:id="580"/>
    <w:bookmarkStart w:id="58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81"/>
    <w:bookmarkStart w:id="583" w:name="X19729d5f9c5d30b594eba5354a63a0671e25329"/>
    <w:p>
      <w:pPr>
        <w:pStyle w:val="Bibliography"/>
      </w:pPr>
      <w:r>
        <w:t xml:space="preserve">Australian Energy Regulator, 2023.</w:t>
      </w:r>
      <w:r>
        <w:t xml:space="preserve"> </w:t>
      </w:r>
      <w:hyperlink r:id="rId58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83"/>
    <w:bookmarkStart w:id="585" w:name="Xbcacf64cc8e19127d3295f53653ab57d7955229"/>
    <w:p>
      <w:pPr>
        <w:pStyle w:val="Bibliography"/>
      </w:pPr>
      <w:r>
        <w:t xml:space="preserve">Australian Energy Regulator, 2022c.</w:t>
      </w:r>
      <w:r>
        <w:t xml:space="preserve"> </w:t>
      </w:r>
      <w:hyperlink r:id="rId584">
        <w:r>
          <w:rPr>
            <w:rStyle w:val="Hyperlink"/>
          </w:rPr>
          <w:t xml:space="preserve">June 2022</w:t>
        </w:r>
        <w:r>
          <w:rPr>
            <w:rStyle w:val="Hyperlink"/>
          </w:rPr>
          <w:t xml:space="preserve"> </w:t>
        </w:r>
        <w:r>
          <w:rPr>
            <w:rStyle w:val="Hyperlink"/>
          </w:rPr>
          <w:t xml:space="preserve">Market Events Report</w:t>
        </w:r>
      </w:hyperlink>
      <w:r>
        <w:t xml:space="preserve">.</w:t>
      </w:r>
    </w:p>
    <w:bookmarkEnd w:id="585"/>
    <w:bookmarkStart w:id="587" w:name="Xba28075f9642eb0f749dea36dbe1e5e328f2670"/>
    <w:p>
      <w:pPr>
        <w:pStyle w:val="Bibliography"/>
      </w:pPr>
      <w:r>
        <w:t xml:space="preserve">Australian Energy Regulator, 2022b.</w:t>
      </w:r>
      <w:r>
        <w:t xml:space="preserve"> </w:t>
      </w:r>
      <w:hyperlink r:id="rId586">
        <w:r>
          <w:rPr>
            <w:rStyle w:val="Hyperlink"/>
          </w:rPr>
          <w:t xml:space="preserve">Significant price reporting guidelines</w:t>
        </w:r>
      </w:hyperlink>
      <w:r>
        <w:t xml:space="preserve">.</w:t>
      </w:r>
    </w:p>
    <w:bookmarkEnd w:id="587"/>
    <w:bookmarkStart w:id="589" w:name="Xc186a249c6fb8f47c02edfd5d5d5296888aef42"/>
    <w:p>
      <w:pPr>
        <w:pStyle w:val="Bibliography"/>
      </w:pPr>
      <w:r>
        <w:t xml:space="preserve">Australian Energy Regulator, 2022a.</w:t>
      </w:r>
      <w:r>
        <w:t xml:space="preserve"> </w:t>
      </w:r>
      <w:hyperlink r:id="rId588">
        <w:r>
          <w:rPr>
            <w:rStyle w:val="Hyperlink"/>
          </w:rPr>
          <w:t xml:space="preserve">State of the energy market 2022</w:t>
        </w:r>
      </w:hyperlink>
      <w:r>
        <w:t xml:space="preserve">.</w:t>
      </w:r>
    </w:p>
    <w:bookmarkEnd w:id="589"/>
    <w:bookmarkStart w:id="59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90"/>
    <w:bookmarkStart w:id="59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91"/>
    <w:bookmarkStart w:id="59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9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93"/>
    <w:bookmarkStart w:id="595" w:name="X339b6804b45ec52d88a13b335a12a09ab6f4cf9"/>
    <w:p>
      <w:pPr>
        <w:pStyle w:val="Bibliography"/>
      </w:pPr>
      <w:r>
        <w:t xml:space="preserve">Australian Energy Regulator, 2019b.</w:t>
      </w:r>
      <w:r>
        <w:t xml:space="preserve"> </w:t>
      </w:r>
      <w:hyperlink r:id="rId59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95"/>
    <w:bookmarkStart w:id="597" w:name="X64112f62afbcd7ff6be2cba0000e3dcd5442845"/>
    <w:p>
      <w:pPr>
        <w:pStyle w:val="Bibliography"/>
      </w:pPr>
      <w:r>
        <w:t xml:space="preserve">Australian Energy Regulator, 2019a.</w:t>
      </w:r>
      <w:r>
        <w:t xml:space="preserve"> </w:t>
      </w:r>
      <w:hyperlink r:id="rId59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97"/>
    <w:bookmarkStart w:id="59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98">
        <w:r>
          <w:rPr>
            <w:rStyle w:val="Hyperlink"/>
          </w:rPr>
          <w:t xml:space="preserve">https://www.aer.gov.au/news-release/aer-queensland-generator-stanwell-decision-disappointing</w:t>
        </w:r>
      </w:hyperlink>
      <w:r>
        <w:t xml:space="preserve"> </w:t>
      </w:r>
      <w:r>
        <w:t xml:space="preserve">(accessed 8.15.2023).</w:t>
      </w:r>
    </w:p>
    <w:bookmarkEnd w:id="599"/>
    <w:bookmarkStart w:id="601" w:name="X66814bac0a36f5a28d160ab749e2acafb965f04"/>
    <w:p>
      <w:pPr>
        <w:pStyle w:val="Bibliography"/>
      </w:pPr>
      <w:r>
        <w:t xml:space="preserve">Australian Energy Regulator, 2006.</w:t>
      </w:r>
      <w:r>
        <w:t xml:space="preserve"> </w:t>
      </w:r>
      <w:hyperlink r:id="rId60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601"/>
    <w:bookmarkStart w:id="60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602">
        <w:r>
          <w:rPr>
            <w:rStyle w:val="Hyperlink"/>
          </w:rPr>
          <w:t xml:space="preserve">https://pv-map.apvi.org.au</w:t>
        </w:r>
      </w:hyperlink>
      <w:r>
        <w:t xml:space="preserve"> </w:t>
      </w:r>
      <w:r>
        <w:t xml:space="preserve">(accessed 5.23.2022).</w:t>
      </w:r>
    </w:p>
    <w:bookmarkEnd w:id="603"/>
    <w:bookmarkStart w:id="605"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604">
        <w:r>
          <w:rPr>
            <w:rStyle w:val="Hyperlink"/>
          </w:rPr>
          <w:t xml:space="preserve">https://doi.org/10.1002/9780470754245</w:t>
        </w:r>
      </w:hyperlink>
    </w:p>
    <w:bookmarkEnd w:id="605"/>
    <w:bookmarkStart w:id="60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606">
        <w:r>
          <w:rPr>
            <w:rStyle w:val="Hyperlink"/>
          </w:rPr>
          <w:t xml:space="preserve">https://doi.org/10.1109/TSTE.2016.2599074</w:t>
        </w:r>
      </w:hyperlink>
    </w:p>
    <w:bookmarkEnd w:id="607"/>
    <w:bookmarkStart w:id="60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608">
        <w:r>
          <w:rPr>
            <w:rStyle w:val="Hyperlink"/>
          </w:rPr>
          <w:t xml:space="preserve">https://doi.org/10.1016/j.rser.2015.07.168</w:t>
        </w:r>
      </w:hyperlink>
    </w:p>
    <w:bookmarkEnd w:id="609"/>
    <w:bookmarkStart w:id="61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610">
        <w:r>
          <w:rPr>
            <w:rStyle w:val="Hyperlink"/>
          </w:rPr>
          <w:t xml:space="preserve">https://doi.org/10.1016/j.rser.2018.03.085</w:t>
        </w:r>
      </w:hyperlink>
    </w:p>
    <w:bookmarkEnd w:id="611"/>
    <w:bookmarkStart w:id="61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612">
        <w:r>
          <w:rPr>
            <w:rStyle w:val="Hyperlink"/>
          </w:rPr>
          <w:t xml:space="preserve">https://doi.org/10.1109/cigre.2005.1532720</w:t>
        </w:r>
      </w:hyperlink>
    </w:p>
    <w:bookmarkEnd w:id="613"/>
    <w:bookmarkStart w:id="61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614">
        <w:r>
          <w:rPr>
            <w:rStyle w:val="Hyperlink"/>
          </w:rPr>
          <w:t xml:space="preserve">https://doi.org/10.1109/TPWRS.2019.2925557</w:t>
        </w:r>
      </w:hyperlink>
    </w:p>
    <w:bookmarkEnd w:id="615"/>
    <w:bookmarkStart w:id="61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616">
        <w:r>
          <w:rPr>
            <w:rStyle w:val="Hyperlink"/>
          </w:rPr>
          <w:t xml:space="preserve">https://doi.org/10.1137/141000671</w:t>
        </w:r>
      </w:hyperlink>
    </w:p>
    <w:bookmarkEnd w:id="617"/>
    <w:bookmarkStart w:id="61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618">
        <w:r>
          <w:rPr>
            <w:rStyle w:val="Hyperlink"/>
          </w:rPr>
          <w:t xml:space="preserve">https://doi.org/10.1016/j.apenergy.2022.119356</w:t>
        </w:r>
      </w:hyperlink>
    </w:p>
    <w:bookmarkEnd w:id="619"/>
    <w:bookmarkStart w:id="621"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620">
        <w:r>
          <w:rPr>
            <w:rStyle w:val="Hyperlink"/>
          </w:rPr>
          <w:t xml:space="preserve">https://doi.org/10.26889/9781784671600</w:t>
        </w:r>
      </w:hyperlink>
    </w:p>
    <w:bookmarkEnd w:id="621"/>
    <w:bookmarkStart w:id="623" w:name="ref-billimoriaContractDesignStorage2023a"/>
    <w:p>
      <w:pPr>
        <w:pStyle w:val="Bibliography"/>
      </w:pPr>
      <w:r>
        <w:t xml:space="preserve">Billimoria, F., Simshauser, P., 2023. Contract design for storage in hybrid electricity markets. Joule.</w:t>
      </w:r>
      <w:r>
        <w:t xml:space="preserve"> </w:t>
      </w:r>
      <w:hyperlink r:id="rId622">
        <w:r>
          <w:rPr>
            <w:rStyle w:val="Hyperlink"/>
          </w:rPr>
          <w:t xml:space="preserve">https://doi.org/10.1016/j.joule.2023.07.002</w:t>
        </w:r>
      </w:hyperlink>
    </w:p>
    <w:bookmarkEnd w:id="623"/>
    <w:bookmarkStart w:id="62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624">
        <w:r>
          <w:rPr>
            <w:rStyle w:val="Hyperlink"/>
          </w:rPr>
          <w:t xml:space="preserve">https://doi.org/10.1016/j.rser.2017.09.002</w:t>
        </w:r>
      </w:hyperlink>
    </w:p>
    <w:bookmarkEnd w:id="625"/>
    <w:bookmarkStart w:id="62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626">
        <w:r>
          <w:rPr>
            <w:rStyle w:val="Hyperlink"/>
          </w:rPr>
          <w:t xml:space="preserve">https://doi.org/10.1109/mpe.2017.2729079</w:t>
        </w:r>
      </w:hyperlink>
    </w:p>
    <w:bookmarkEnd w:id="627"/>
    <w:bookmarkStart w:id="629" w:name="Xf689e29b801ef3c74433124fb57662ea6c893fe"/>
    <w:p>
      <w:pPr>
        <w:pStyle w:val="Bibliography"/>
      </w:pPr>
      <w:r>
        <w:t xml:space="preserve">Borenstein, S., Bushnell, J., Mansur, E., 2023.</w:t>
      </w:r>
      <w:r>
        <w:t xml:space="preserve"> </w:t>
      </w:r>
      <w:hyperlink r:id="rId62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29"/>
    <w:bookmarkStart w:id="63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30">
        <w:r>
          <w:rPr>
            <w:rStyle w:val="Hyperlink"/>
          </w:rPr>
          <w:t xml:space="preserve">https://doi.org/10.1257/jep.31.3.215</w:t>
        </w:r>
      </w:hyperlink>
    </w:p>
    <w:bookmarkEnd w:id="631"/>
    <w:bookmarkStart w:id="63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32">
        <w:r>
          <w:rPr>
            <w:rStyle w:val="Hyperlink"/>
          </w:rPr>
          <w:t xml:space="preserve">https://doi.org/10.1016/j.apenergy.2013.10.010</w:t>
        </w:r>
      </w:hyperlink>
    </w:p>
    <w:bookmarkEnd w:id="633"/>
    <w:bookmarkStart w:id="635" w:name="ref-bronkHayekWisdomPrices2013"/>
    <w:p>
      <w:pPr>
        <w:pStyle w:val="Bibliography"/>
      </w:pPr>
      <w:r>
        <w:t xml:space="preserve">Bronk, R., 2013. Hayek on the wisdom of prices: A reassessment. EJPE 6, 82.</w:t>
      </w:r>
      <w:r>
        <w:t xml:space="preserve"> </w:t>
      </w:r>
      <w:hyperlink r:id="rId634">
        <w:r>
          <w:rPr>
            <w:rStyle w:val="Hyperlink"/>
          </w:rPr>
          <w:t xml:space="preserve">https://doi.org/10.23941/ejpe.v6i1.120</w:t>
        </w:r>
      </w:hyperlink>
    </w:p>
    <w:bookmarkEnd w:id="635"/>
    <w:bookmarkStart w:id="63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36">
        <w:r>
          <w:rPr>
            <w:rStyle w:val="Hyperlink"/>
          </w:rPr>
          <w:t xml:space="preserve">https://doi.org/10.1016/j.tej.2019.106668</w:t>
        </w:r>
      </w:hyperlink>
    </w:p>
    <w:bookmarkEnd w:id="637"/>
    <w:bookmarkStart w:id="63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38">
        <w:r>
          <w:rPr>
            <w:rStyle w:val="Hyperlink"/>
          </w:rPr>
          <w:t xml:space="preserve">https://doi.org/10.1093/qje/qjv027</w:t>
        </w:r>
      </w:hyperlink>
    </w:p>
    <w:bookmarkEnd w:id="639"/>
    <w:bookmarkStart w:id="64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40">
        <w:r>
          <w:rPr>
            <w:rStyle w:val="Hyperlink"/>
          </w:rPr>
          <w:t xml:space="preserve">https://doi.org/10.1109/jproc.2005.857491</w:t>
        </w:r>
      </w:hyperlink>
    </w:p>
    <w:bookmarkEnd w:id="641"/>
    <w:bookmarkStart w:id="642"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42"/>
    <w:bookmarkStart w:id="64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43">
        <w:r>
          <w:rPr>
            <w:rStyle w:val="Hyperlink"/>
          </w:rPr>
          <w:t xml:space="preserve">https://doi.org/10.1016/j.tej.2023.107239</w:t>
        </w:r>
      </w:hyperlink>
    </w:p>
    <w:bookmarkEnd w:id="644"/>
    <w:bookmarkStart w:id="64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45">
        <w:r>
          <w:rPr>
            <w:rStyle w:val="Hyperlink"/>
          </w:rPr>
          <w:t xml:space="preserve">https://doi.org/10.1016/j.tej.2013.05.004</w:t>
        </w:r>
      </w:hyperlink>
    </w:p>
    <w:bookmarkEnd w:id="646"/>
    <w:bookmarkStart w:id="648" w:name="ref-cherevatskiyGridFormingEnergy2020"/>
    <w:p>
      <w:pPr>
        <w:pStyle w:val="Bibliography"/>
      </w:pPr>
      <w:r>
        <w:t xml:space="preserve">Cherevatskiy, S., Sproul, S., Zabihi, S., Korte, R., Klingenberg, H., Buchholz, B., Oudalov, A., 2020.</w:t>
      </w:r>
      <w:r>
        <w:t xml:space="preserve"> </w:t>
      </w:r>
      <w:hyperlink r:id="rId64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48"/>
    <w:bookmarkStart w:id="65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49">
        <w:r>
          <w:rPr>
            <w:rStyle w:val="Hyperlink"/>
          </w:rPr>
          <w:t xml:space="preserve">https://doi.org/10.2172/1808497</w:t>
        </w:r>
      </w:hyperlink>
    </w:p>
    <w:bookmarkEnd w:id="650"/>
    <w:bookmarkStart w:id="652" w:name="X742bdc288e76a0bd9e666bb5f7f8e6c6985e3ee"/>
    <w:p>
      <w:pPr>
        <w:pStyle w:val="Bibliography"/>
      </w:pPr>
      <w:r>
        <w:t xml:space="preserve">Chester, L., 2024.</w:t>
      </w:r>
      <w:r>
        <w:t xml:space="preserve"> </w:t>
      </w:r>
      <w:hyperlink r:id="rId65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52"/>
    <w:bookmarkStart w:id="65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53">
        <w:r>
          <w:rPr>
            <w:rStyle w:val="Hyperlink"/>
          </w:rPr>
          <w:t xml:space="preserve">https://doi.org/10.1016/j.enpol.2018.12.052</w:t>
        </w:r>
      </w:hyperlink>
    </w:p>
    <w:bookmarkEnd w:id="654"/>
    <w:bookmarkStart w:id="65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55">
        <w:r>
          <w:rPr>
            <w:rStyle w:val="Hyperlink"/>
          </w:rPr>
          <w:t xml:space="preserve">https://doi.org/10.1109/jproc.2005.857493</w:t>
        </w:r>
      </w:hyperlink>
    </w:p>
    <w:bookmarkEnd w:id="656"/>
    <w:bookmarkStart w:id="65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57">
        <w:r>
          <w:rPr>
            <w:rStyle w:val="Hyperlink"/>
          </w:rPr>
          <w:t xml:space="preserve">https://doi.org/10.1086/466560</w:t>
        </w:r>
      </w:hyperlink>
    </w:p>
    <w:bookmarkEnd w:id="658"/>
    <w:bookmarkStart w:id="66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59">
        <w:r>
          <w:rPr>
            <w:rStyle w:val="Hyperlink"/>
          </w:rPr>
          <w:t xml:space="preserve">https://doi.org/10.2307/2626876</w:t>
        </w:r>
      </w:hyperlink>
    </w:p>
    <w:bookmarkEnd w:id="660"/>
    <w:bookmarkStart w:id="66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61"/>
    <w:bookmarkStart w:id="66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62">
        <w:r>
          <w:rPr>
            <w:rStyle w:val="Hyperlink"/>
          </w:rPr>
          <w:t xml:space="preserve">https://doi.org/10.1016/j.ijepes.2017.12.014</w:t>
        </w:r>
      </w:hyperlink>
    </w:p>
    <w:bookmarkEnd w:id="663"/>
    <w:bookmarkStart w:id="66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64">
        <w:r>
          <w:rPr>
            <w:rStyle w:val="Hyperlink"/>
          </w:rPr>
          <w:t xml:space="preserve">https://doi.org/10.1016/j.enpol.2011.04.032</w:t>
        </w:r>
      </w:hyperlink>
    </w:p>
    <w:bookmarkEnd w:id="665"/>
    <w:bookmarkStart w:id="66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66">
        <w:r>
          <w:rPr>
            <w:rStyle w:val="Hyperlink"/>
          </w:rPr>
          <w:t xml:space="preserve">https://doi.org/10.1109/TPWRS.2022.3163106</w:t>
        </w:r>
      </w:hyperlink>
    </w:p>
    <w:bookmarkEnd w:id="667"/>
    <w:bookmarkStart w:id="669" w:name="ref-cramtonElectricityMarketDesign2017"/>
    <w:p>
      <w:pPr>
        <w:pStyle w:val="Bibliography"/>
      </w:pPr>
      <w:r>
        <w:t xml:space="preserve">Cramton, P., 2017. Electricity market design. Oxford Review of Economic Policy 33, 589–612.</w:t>
      </w:r>
      <w:r>
        <w:t xml:space="preserve"> </w:t>
      </w:r>
      <w:hyperlink r:id="rId668">
        <w:r>
          <w:rPr>
            <w:rStyle w:val="Hyperlink"/>
          </w:rPr>
          <w:t xml:space="preserve">https://doi.org/10.1093/oxrep/grx041</w:t>
        </w:r>
      </w:hyperlink>
    </w:p>
    <w:bookmarkEnd w:id="669"/>
    <w:bookmarkStart w:id="671" w:name="Xfd68a9355e2c910455f81d938b1336912327fa1"/>
    <w:p>
      <w:pPr>
        <w:pStyle w:val="Bibliography"/>
      </w:pPr>
      <w:r>
        <w:t xml:space="preserve">Creative Energy Consulting, 2020.</w:t>
      </w:r>
      <w:r>
        <w:t xml:space="preserve"> </w:t>
      </w:r>
      <w:hyperlink r:id="rId67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71"/>
    <w:bookmarkStart w:id="67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72">
        <w:r>
          <w:rPr>
            <w:rStyle w:val="Hyperlink"/>
          </w:rPr>
          <w:t xml:space="preserve">https://doi.org/10.1016/j.seta.2021.101286</w:t>
        </w:r>
      </w:hyperlink>
    </w:p>
    <w:bookmarkEnd w:id="673"/>
    <w:bookmarkStart w:id="67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74">
        <w:r>
          <w:rPr>
            <w:rStyle w:val="Hyperlink"/>
          </w:rPr>
          <w:t xml:space="preserve">https://doi.org/10.21105/joss.03349</w:t>
        </w:r>
      </w:hyperlink>
    </w:p>
    <w:bookmarkEnd w:id="675"/>
    <w:bookmarkStart w:id="67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76">
        <w:r>
          <w:rPr>
            <w:rStyle w:val="Hyperlink"/>
          </w:rPr>
          <w:t xml:space="preserve">https://doi.org/10.1038/s41560-018-0290-1</w:t>
        </w:r>
      </w:hyperlink>
    </w:p>
    <w:bookmarkEnd w:id="677"/>
    <w:bookmarkStart w:id="67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78">
        <w:r>
          <w:rPr>
            <w:rStyle w:val="Hyperlink"/>
          </w:rPr>
          <w:t xml:space="preserve">https://doi.org/10.1016/j.apenergy.2016.05.014</w:t>
        </w:r>
      </w:hyperlink>
    </w:p>
    <w:bookmarkEnd w:id="679"/>
    <w:bookmarkStart w:id="68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80">
        <w:r>
          <w:rPr>
            <w:rStyle w:val="Hyperlink"/>
          </w:rPr>
          <w:t xml:space="preserve">https://doi.org/10.1016/j.enpol.2018.09.031</w:t>
        </w:r>
      </w:hyperlink>
    </w:p>
    <w:bookmarkEnd w:id="681"/>
    <w:bookmarkStart w:id="68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82">
        <w:r>
          <w:rPr>
            <w:rStyle w:val="Hyperlink"/>
          </w:rPr>
          <w:t xml:space="preserve">https://doi.org/10.1093/ooenergy/oiab007</w:t>
        </w:r>
      </w:hyperlink>
    </w:p>
    <w:bookmarkEnd w:id="683"/>
    <w:bookmarkStart w:id="68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84">
        <w:r>
          <w:rPr>
            <w:rStyle w:val="Hyperlink"/>
          </w:rPr>
          <w:t xml:space="preserve">https://doi.org/10.1016/j.epsr.2021.107022</w:t>
        </w:r>
      </w:hyperlink>
    </w:p>
    <w:bookmarkEnd w:id="685"/>
    <w:bookmarkStart w:id="68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86">
        <w:r>
          <w:rPr>
            <w:rStyle w:val="Hyperlink"/>
          </w:rPr>
          <w:t xml:space="preserve">https://doi.org/10.1016/j.enpol.2018.01.023</w:t>
        </w:r>
      </w:hyperlink>
    </w:p>
    <w:bookmarkEnd w:id="687"/>
    <w:bookmarkStart w:id="68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88"/>
    <w:bookmarkStart w:id="69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89">
        <w:r>
          <w:rPr>
            <w:rStyle w:val="Hyperlink"/>
          </w:rPr>
          <w:t xml:space="preserve">https://www.energy.gov.au/government-priorities/energy-markets/national-electricity-market-nem</w:t>
        </w:r>
      </w:hyperlink>
      <w:r>
        <w:t xml:space="preserve"> </w:t>
      </w:r>
      <w:r>
        <w:t xml:space="preserve">(accessed 8.3.2023).</w:t>
      </w:r>
    </w:p>
    <w:bookmarkEnd w:id="690"/>
    <w:bookmarkStart w:id="69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91"/>
    <w:bookmarkStart w:id="69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92"/>
    <w:bookmarkStart w:id="69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93"/>
    <w:bookmarkStart w:id="69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94">
        <w:r>
          <w:rPr>
            <w:rStyle w:val="Hyperlink"/>
          </w:rPr>
          <w:t xml:space="preserve">https://doi.org/10.1016/j.rser.2016.11.170</w:t>
        </w:r>
      </w:hyperlink>
    </w:p>
    <w:bookmarkEnd w:id="695"/>
    <w:bookmarkStart w:id="69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96">
        <w:r>
          <w:rPr>
            <w:rStyle w:val="Hyperlink"/>
          </w:rPr>
          <w:t xml:space="preserve">https://doi.org/10.1049/cp.2014.0902</w:t>
        </w:r>
      </w:hyperlink>
    </w:p>
    <w:bookmarkEnd w:id="697"/>
    <w:bookmarkStart w:id="69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98">
        <w:r>
          <w:rPr>
            <w:rStyle w:val="Hyperlink"/>
          </w:rPr>
          <w:t xml:space="preserve">https://doi.org/10.1049/iet-gtd.2013.0720</w:t>
        </w:r>
      </w:hyperlink>
    </w:p>
    <w:bookmarkEnd w:id="699"/>
    <w:bookmarkStart w:id="70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700">
        <w:r>
          <w:rPr>
            <w:rStyle w:val="Hyperlink"/>
          </w:rPr>
          <w:t xml:space="preserve">https://doi.org/10.1109/MPE.2021.3088958</w:t>
        </w:r>
      </w:hyperlink>
    </w:p>
    <w:bookmarkEnd w:id="701"/>
    <w:bookmarkStart w:id="70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702">
        <w:r>
          <w:rPr>
            <w:rStyle w:val="Hyperlink"/>
          </w:rPr>
          <w:t xml:space="preserve">https://doi.org/10.1007/s11149-021-09430-7</w:t>
        </w:r>
      </w:hyperlink>
    </w:p>
    <w:bookmarkEnd w:id="703"/>
    <w:bookmarkStart w:id="705" w:name="ref-ekisticaReportThreeNegative2021"/>
    <w:p>
      <w:pPr>
        <w:pStyle w:val="Bibliography"/>
      </w:pPr>
      <w:r>
        <w:t xml:space="preserve">Ekistica, 2021.</w:t>
      </w:r>
      <w:r>
        <w:t xml:space="preserve"> </w:t>
      </w:r>
      <w:hyperlink r:id="rId704">
        <w:r>
          <w:rPr>
            <w:rStyle w:val="Hyperlink"/>
          </w:rPr>
          <w:t xml:space="preserve">Report</w:t>
        </w:r>
        <w:r>
          <w:rPr>
            <w:rStyle w:val="Hyperlink"/>
          </w:rPr>
          <w:t xml:space="preserve"> </w:t>
        </w:r>
        <w:r>
          <w:rPr>
            <w:rStyle w:val="Hyperlink"/>
          </w:rPr>
          <w:t xml:space="preserve">Three</w:t>
        </w:r>
        <w:r>
          <w:rPr>
            <w:rStyle w:val="Hyperlink"/>
          </w:rPr>
          <w:t xml:space="preserve">:</w:t>
        </w:r>
        <w:r>
          <w:rPr>
            <w:rStyle w:val="Hyperlink"/>
          </w:rPr>
          <w:t xml:space="preserve"> </w:t>
        </w:r>
        <w:r>
          <w:rPr>
            <w:rStyle w:val="Hyperlink"/>
          </w:rPr>
          <w:t xml:space="preserve">Negative</w:t>
        </w:r>
        <w:r>
          <w:rPr>
            <w:rStyle w:val="Hyperlink"/>
          </w:rPr>
          <w:t xml:space="preserve"> </w:t>
        </w:r>
        <w:r>
          <w:rPr>
            <w:rStyle w:val="Hyperlink"/>
          </w:rPr>
          <w:t xml:space="preserve">pricing and bidding behaviour on the</w:t>
        </w:r>
        <w:r>
          <w:rPr>
            <w:rStyle w:val="Hyperlink"/>
          </w:rPr>
          <w:t xml:space="preserve"> </w:t>
        </w:r>
        <w:r>
          <w:rPr>
            <w:rStyle w:val="Hyperlink"/>
          </w:rPr>
          <w:t xml:space="preserve">NEM</w:t>
        </w:r>
      </w:hyperlink>
      <w:r>
        <w:t xml:space="preserve">.</w:t>
      </w:r>
    </w:p>
    <w:bookmarkEnd w:id="705"/>
    <w:bookmarkStart w:id="707" w:name="ref-elaIntegrationElectricStorage2021"/>
    <w:p>
      <w:pPr>
        <w:pStyle w:val="Bibliography"/>
      </w:pPr>
      <w:r>
        <w:t xml:space="preserve">Ela, E., 2021.</w:t>
      </w:r>
      <w:r>
        <w:t xml:space="preserve"> </w:t>
      </w:r>
      <w:hyperlink r:id="rId70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707"/>
    <w:bookmarkStart w:id="709" w:name="ref-elaAncillaryServicesUnited2019"/>
    <w:p>
      <w:pPr>
        <w:pStyle w:val="Bibliography"/>
      </w:pPr>
      <w:r>
        <w:t xml:space="preserve">Ela, E., Hytowitz, R.B., 2019.</w:t>
      </w:r>
      <w:r>
        <w:t xml:space="preserve"> </w:t>
      </w:r>
      <w:hyperlink r:id="rId70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709"/>
    <w:bookmarkStart w:id="71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710">
        <w:r>
          <w:rPr>
            <w:rStyle w:val="Hyperlink"/>
          </w:rPr>
          <w:t xml:space="preserve">https://doi.org/10.1109/pesgm.2012.6345361</w:t>
        </w:r>
      </w:hyperlink>
    </w:p>
    <w:bookmarkEnd w:id="711"/>
    <w:bookmarkStart w:id="71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712">
        <w:r>
          <w:rPr>
            <w:rStyle w:val="Hyperlink"/>
          </w:rPr>
          <w:t xml:space="preserve">https://doi.org/10.1016/j.tej.2016.05.001</w:t>
        </w:r>
      </w:hyperlink>
    </w:p>
    <w:bookmarkEnd w:id="713"/>
    <w:bookmarkStart w:id="71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714">
        <w:r>
          <w:rPr>
            <w:rStyle w:val="Hyperlink"/>
          </w:rPr>
          <w:t xml:space="preserve">https://doi.org/10.2172/1023095</w:t>
        </w:r>
      </w:hyperlink>
    </w:p>
    <w:bookmarkEnd w:id="715"/>
    <w:bookmarkStart w:id="71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716">
        <w:r>
          <w:rPr>
            <w:rStyle w:val="Hyperlink"/>
          </w:rPr>
          <w:t xml:space="preserve">https://doi.org/10.1109/mpe.2020.3033396</w:t>
        </w:r>
      </w:hyperlink>
    </w:p>
    <w:bookmarkEnd w:id="717"/>
    <w:bookmarkStart w:id="71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718">
        <w:r>
          <w:rPr>
            <w:rStyle w:val="Hyperlink"/>
          </w:rPr>
          <w:t xml:space="preserve">https://doi.org/10.1109/tpwrs.2015.2461535</w:t>
        </w:r>
      </w:hyperlink>
    </w:p>
    <w:bookmarkEnd w:id="719"/>
    <w:bookmarkStart w:id="72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720">
        <w:r>
          <w:rPr>
            <w:rStyle w:val="Hyperlink"/>
          </w:rPr>
          <w:t xml:space="preserve">https://doi.org/10.1109/mpe.2019.2933281</w:t>
        </w:r>
      </w:hyperlink>
    </w:p>
    <w:bookmarkEnd w:id="721"/>
    <w:bookmarkStart w:id="72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722">
        <w:r>
          <w:rPr>
            <w:rStyle w:val="Hyperlink"/>
          </w:rPr>
          <w:t xml:space="preserve">https://doi.org/10.1016/j.tej.2012.04.015</w:t>
        </w:r>
      </w:hyperlink>
    </w:p>
    <w:bookmarkEnd w:id="723"/>
    <w:bookmarkStart w:id="72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724">
        <w:r>
          <w:rPr>
            <w:rStyle w:val="Hyperlink"/>
          </w:rPr>
          <w:t xml:space="preserve">https://doi.org/10.1109/mpe.2017.2730827</w:t>
        </w:r>
      </w:hyperlink>
    </w:p>
    <w:bookmarkEnd w:id="725"/>
    <w:bookmarkStart w:id="72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726">
        <w:r>
          <w:rPr>
            <w:rStyle w:val="Hyperlink"/>
          </w:rPr>
          <w:t xml:space="preserve">https://www.projectenergyconnect.com.au/index.html</w:t>
        </w:r>
      </w:hyperlink>
      <w:r>
        <w:t xml:space="preserve"> </w:t>
      </w:r>
      <w:r>
        <w:t xml:space="preserve">(accessed 4.12.2022).</w:t>
      </w:r>
    </w:p>
    <w:bookmarkEnd w:id="727"/>
    <w:bookmarkStart w:id="729" w:name="Xf2b71f0688f5c136cf7f65402d8c0e046f8bb5c"/>
    <w:p>
      <w:pPr>
        <w:pStyle w:val="Bibliography"/>
      </w:pPr>
      <w:r>
        <w:t xml:space="preserve">Electricity Sector Climate Information Project, 2021.</w:t>
      </w:r>
      <w:r>
        <w:t xml:space="preserve"> </w:t>
      </w:r>
      <w:hyperlink r:id="rId728">
        <w:r>
          <w:rPr>
            <w:rStyle w:val="Hyperlink"/>
          </w:rPr>
          <w:t xml:space="preserve">ESCI Project Final Report</w:t>
        </w:r>
      </w:hyperlink>
      <w:r>
        <w:t xml:space="preserve">.</w:t>
      </w:r>
    </w:p>
    <w:bookmarkEnd w:id="729"/>
    <w:bookmarkStart w:id="730" w:name="ref-elgerdElectricEnergySystems1971"/>
    <w:p>
      <w:pPr>
        <w:pStyle w:val="Bibliography"/>
      </w:pPr>
      <w:r>
        <w:t xml:space="preserve">Elgerd, O.I., 1971. Electric energy systems theory: An introduction. McGraw-Hill, New York, N.Y.</w:t>
      </w:r>
    </w:p>
    <w:bookmarkEnd w:id="730"/>
    <w:bookmarkStart w:id="73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31">
        <w:r>
          <w:rPr>
            <w:rStyle w:val="Hyperlink"/>
          </w:rPr>
          <w:t xml:space="preserve">https://doi.org/10.1016/j.enpol.2013.03.038</w:t>
        </w:r>
      </w:hyperlink>
    </w:p>
    <w:bookmarkEnd w:id="732"/>
    <w:bookmarkStart w:id="73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33">
        <w:r>
          <w:rPr>
            <w:rStyle w:val="Hyperlink"/>
          </w:rPr>
          <w:t xml:space="preserve">https://www.energyexemplar.com/plexos</w:t>
        </w:r>
      </w:hyperlink>
      <w:r>
        <w:t xml:space="preserve"> </w:t>
      </w:r>
      <w:r>
        <w:t xml:space="preserve">(accessed 4.13.2022).</w:t>
      </w:r>
    </w:p>
    <w:bookmarkEnd w:id="734"/>
    <w:bookmarkStart w:id="736" w:name="X74531a6431070eb5c6e58493167062750fc9cf1"/>
    <w:p>
      <w:pPr>
        <w:pStyle w:val="Bibliography"/>
      </w:pPr>
      <w:r>
        <w:t xml:space="preserve">Energy Security Board, 2024.</w:t>
      </w:r>
      <w:r>
        <w:t xml:space="preserve"> </w:t>
      </w:r>
      <w:hyperlink r:id="rId73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36"/>
    <w:bookmarkStart w:id="73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37"/>
    <w:bookmarkStart w:id="73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38"/>
    <w:bookmarkStart w:id="73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39"/>
    <w:bookmarkStart w:id="74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40"/>
    <w:bookmarkStart w:id="74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41"/>
    <w:bookmarkStart w:id="74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42"/>
    <w:bookmarkStart w:id="74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43">
        <w:r>
          <w:rPr>
            <w:rStyle w:val="Hyperlink"/>
          </w:rPr>
          <w:t xml:space="preserve">https://www.epexspot.com/en/marketcoupling</w:t>
        </w:r>
      </w:hyperlink>
      <w:r>
        <w:t xml:space="preserve"> </w:t>
      </w:r>
      <w:r>
        <w:t xml:space="preserve">(accessed 1.14.2022).</w:t>
      </w:r>
    </w:p>
    <w:bookmarkEnd w:id="744"/>
    <w:bookmarkStart w:id="74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45">
        <w:r>
          <w:rPr>
            <w:rStyle w:val="Hyperlink"/>
          </w:rPr>
          <w:t xml:space="preserve">https://doi.org/10.1049/iet-rpg.2017.0370</w:t>
        </w:r>
      </w:hyperlink>
    </w:p>
    <w:bookmarkEnd w:id="746"/>
    <w:bookmarkStart w:id="74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47"/>
    <w:bookmarkStart w:id="74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48"/>
    <w:bookmarkStart w:id="750" w:name="Xc2eda901e84eb700caa2d19078af1c12c2e9550"/>
    <w:p>
      <w:pPr>
        <w:pStyle w:val="Bibliography"/>
      </w:pPr>
      <w:r>
        <w:t xml:space="preserve">European Commission, 2017.</w:t>
      </w:r>
      <w:r>
        <w:t xml:space="preserve"> </w:t>
      </w:r>
      <w:hyperlink r:id="rId74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50"/>
    <w:bookmarkStart w:id="75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51"/>
    <w:bookmarkStart w:id="75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52"/>
    <w:bookmarkStart w:id="75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53"/>
    <w:bookmarkStart w:id="755" w:name="Xa6a1827605ca5d143e229c53fba6f164e8ef9ec"/>
    <w:p>
      <w:pPr>
        <w:pStyle w:val="Bibliography"/>
      </w:pPr>
      <w:r>
        <w:t xml:space="preserve">Federal Energy Regulatory Commission, 2021.</w:t>
      </w:r>
      <w:r>
        <w:t xml:space="preserve"> </w:t>
      </w:r>
      <w:hyperlink r:id="rId75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55"/>
    <w:bookmarkStart w:id="75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56"/>
    <w:bookmarkStart w:id="758" w:name="X7b8f145c50d043e2daeba4e9be46e188fcaaaf3"/>
    <w:p>
      <w:pPr>
        <w:pStyle w:val="Bibliography"/>
      </w:pPr>
      <w:r>
        <w:t xml:space="preserve">Federal Energy Regulatory Commission, 2018b.</w:t>
      </w:r>
      <w:r>
        <w:t xml:space="preserve"> </w:t>
      </w:r>
      <w:hyperlink r:id="rId75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58"/>
    <w:bookmarkStart w:id="76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59">
        <w:r>
          <w:rPr>
            <w:rStyle w:val="Hyperlink"/>
          </w:rPr>
          <w:t xml:space="preserve">https://doi.org/10.1016/j.rser.2019.109369</w:t>
        </w:r>
      </w:hyperlink>
    </w:p>
    <w:bookmarkEnd w:id="760"/>
    <w:bookmarkStart w:id="76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61">
        <w:r>
          <w:rPr>
            <w:rStyle w:val="Hyperlink"/>
          </w:rPr>
          <w:t xml:space="preserve">https://doi.org/10.1016/j.rser.2019.109662</w:t>
        </w:r>
      </w:hyperlink>
    </w:p>
    <w:bookmarkEnd w:id="762"/>
    <w:bookmarkStart w:id="76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63">
        <w:r>
          <w:rPr>
            <w:rStyle w:val="Hyperlink"/>
          </w:rPr>
          <w:t xml:space="preserve">https://doi.org/10.1016/S0928-7655(00)00025-7</w:t>
        </w:r>
      </w:hyperlink>
    </w:p>
    <w:bookmarkEnd w:id="764"/>
    <w:bookmarkStart w:id="766" w:name="ref-fitzgeraldEconomicsBatteryEnergy2015"/>
    <w:p>
      <w:pPr>
        <w:pStyle w:val="Bibliography"/>
      </w:pPr>
      <w:r>
        <w:t xml:space="preserve">Fitzgerald, G., Mandel, J., Morris, J., Touati, H., 2015.</w:t>
      </w:r>
      <w:r>
        <w:t xml:space="preserve"> </w:t>
      </w:r>
      <w:hyperlink r:id="rId76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66"/>
    <w:bookmarkStart w:id="768" w:name="ref-fouquetPathDependenceEnergy2016"/>
    <w:p>
      <w:pPr>
        <w:pStyle w:val="Bibliography"/>
      </w:pPr>
      <w:r>
        <w:t xml:space="preserve">Fouquet, R., 2016. Path dependence in energy systems and economic development. Nat Energy 1, 1–5.</w:t>
      </w:r>
      <w:r>
        <w:t xml:space="preserve"> </w:t>
      </w:r>
      <w:hyperlink r:id="rId767">
        <w:r>
          <w:rPr>
            <w:rStyle w:val="Hyperlink"/>
          </w:rPr>
          <w:t xml:space="preserve">https://doi.org/10.1038/nenergy.2016.98</w:t>
        </w:r>
      </w:hyperlink>
    </w:p>
    <w:bookmarkEnd w:id="768"/>
    <w:bookmarkStart w:id="77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69">
        <w:r>
          <w:rPr>
            <w:rStyle w:val="Hyperlink"/>
          </w:rPr>
          <w:t xml:space="preserve">https://doi.org/10.2172/1785688</w:t>
        </w:r>
      </w:hyperlink>
    </w:p>
    <w:bookmarkEnd w:id="770"/>
    <w:bookmarkStart w:id="77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71">
        <w:r>
          <w:rPr>
            <w:rStyle w:val="Hyperlink"/>
          </w:rPr>
          <w:t xml:space="preserve">https://doi.org/10.1016/j.enpol.2021.112443</w:t>
        </w:r>
      </w:hyperlink>
    </w:p>
    <w:bookmarkEnd w:id="772"/>
    <w:bookmarkStart w:id="77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73">
        <w:r>
          <w:rPr>
            <w:rStyle w:val="Hyperlink"/>
          </w:rPr>
          <w:t xml:space="preserve">https://doi.org/10.1016/j.joule.2021.03.021</w:t>
        </w:r>
      </w:hyperlink>
    </w:p>
    <w:bookmarkEnd w:id="774"/>
    <w:bookmarkStart w:id="77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7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76"/>
    <w:bookmarkStart w:id="77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77"/>
    <w:bookmarkStart w:id="779" w:name="ref-gimonGridPhysicsMarkets2020"/>
    <w:p>
      <w:pPr>
        <w:pStyle w:val="Bibliography"/>
      </w:pPr>
      <w:r>
        <w:t xml:space="preserve">Gimon, E., 2020.</w:t>
      </w:r>
      <w:r>
        <w:t xml:space="preserve"> </w:t>
      </w:r>
      <w:hyperlink r:id="rId77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79"/>
    <w:bookmarkStart w:id="78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80">
        <w:r>
          <w:rPr>
            <w:rStyle w:val="Hyperlink"/>
          </w:rPr>
          <w:t xml:space="preserve">https://nemlog.com.au/nlog/welcome-to-gpe-nemlog2/</w:t>
        </w:r>
      </w:hyperlink>
      <w:r>
        <w:t xml:space="preserve"> </w:t>
      </w:r>
      <w:r>
        <w:t xml:space="preserve">(accessed 11.27.2023).</w:t>
      </w:r>
    </w:p>
    <w:bookmarkEnd w:id="781"/>
    <w:bookmarkStart w:id="78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82">
        <w:r>
          <w:rPr>
            <w:rStyle w:val="Hyperlink"/>
          </w:rPr>
          <w:t xml:space="preserve">https://doi.org/10.1016/j.rser.2017.05.278</w:t>
        </w:r>
      </w:hyperlink>
    </w:p>
    <w:bookmarkEnd w:id="783"/>
    <w:bookmarkStart w:id="785" w:name="ref-gormanOpenEnergySystem2024"/>
    <w:p>
      <w:pPr>
        <w:pStyle w:val="Bibliography"/>
      </w:pPr>
      <w:r>
        <w:t xml:space="preserve">Gorman, N., 2024.</w:t>
      </w:r>
      <w:r>
        <w:t xml:space="preserve"> </w:t>
      </w:r>
      <w:hyperlink r:id="rId784">
        <w:r>
          <w:rPr>
            <w:rStyle w:val="Hyperlink"/>
          </w:rPr>
          <w:t xml:space="preserve">Towards</w:t>
        </w:r>
        <w:r>
          <w:rPr>
            <w:rStyle w:val="Hyperlink"/>
          </w:rPr>
          <w:t xml:space="preserve"> </w:t>
        </w:r>
        <w:r>
          <w:rPr>
            <w:rStyle w:val="Hyperlink"/>
          </w:rPr>
          <w:t xml:space="preserve">Open Energy System Modelling Infrastructure</w:t>
        </w:r>
        <w:r>
          <w:rPr>
            <w:rStyle w:val="Hyperlink"/>
          </w:rPr>
          <w:t xml:space="preserve"> </w:t>
        </w:r>
        <w:r>
          <w:rPr>
            <w:rStyle w:val="Hyperlink"/>
          </w:rPr>
          <w:t xml:space="preserve">for the</w:t>
        </w:r>
        <w:r>
          <w:rPr>
            <w:rStyle w:val="Hyperlink"/>
          </w:rPr>
          <w:t xml:space="preserve"> </w:t>
        </w:r>
        <w:r>
          <w:rPr>
            <w:rStyle w:val="Hyperlink"/>
          </w:rPr>
          <w:t xml:space="preserve">Australian National Electricity Market</w:t>
        </w:r>
      </w:hyperlink>
      <w:r>
        <w:t xml:space="preserve">. UNSW Sydney.</w:t>
      </w:r>
    </w:p>
    <w:bookmarkEnd w:id="785"/>
    <w:bookmarkStart w:id="787" w:name="ref-gormanNembiddingdashboard2023"/>
    <w:p>
      <w:pPr>
        <w:pStyle w:val="Bibliography"/>
      </w:pPr>
      <w:r>
        <w:t xml:space="preserve">Gorman, N., Chambers, P., 2023.</w:t>
      </w:r>
      <w:r>
        <w:t xml:space="preserve"> </w:t>
      </w:r>
      <w:hyperlink r:id="rId786">
        <w:r>
          <w:rPr>
            <w:rStyle w:val="Hyperlink"/>
          </w:rPr>
          <w:t xml:space="preserve">Nem-bidding-dashboard</w:t>
        </w:r>
      </w:hyperlink>
      <w:r>
        <w:t xml:space="preserve">.</w:t>
      </w:r>
    </w:p>
    <w:bookmarkEnd w:id="787"/>
    <w:bookmarkStart w:id="789" w:name="ref-gormanNEMOSISNEMOpen2018"/>
    <w:p>
      <w:pPr>
        <w:pStyle w:val="Bibliography"/>
      </w:pPr>
      <w:r>
        <w:t xml:space="preserve">Gorman, N., Haghdadi, N., Bruce, A., MacGill, I., 2018.</w:t>
      </w:r>
      <w:r>
        <w:t xml:space="preserve"> </w:t>
      </w:r>
      <w:hyperlink r:id="rId78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89"/>
    <w:bookmarkStart w:id="79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90">
        <w:r>
          <w:rPr>
            <w:rStyle w:val="Hyperlink"/>
          </w:rPr>
          <w:t xml:space="preserve">https://doi.org/10.1016/j.tej.2020.106739</w:t>
        </w:r>
      </w:hyperlink>
    </w:p>
    <w:bookmarkEnd w:id="791"/>
    <w:bookmarkStart w:id="792" w:name="ref-graingerPowerSystemAnalysis1994"/>
    <w:p>
      <w:pPr>
        <w:pStyle w:val="Bibliography"/>
      </w:pPr>
      <w:r>
        <w:t xml:space="preserve">Grainger, J.J., 1994. Power system analysis. McGraw-Hill, New York.</w:t>
      </w:r>
    </w:p>
    <w:bookmarkEnd w:id="792"/>
    <w:bookmarkStart w:id="79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93">
        <w:r>
          <w:rPr>
            <w:rStyle w:val="Hyperlink"/>
          </w:rPr>
          <w:t xml:space="preserve">https://doi.org/10.1017/S0269889715000307</w:t>
        </w:r>
      </w:hyperlink>
    </w:p>
    <w:bookmarkEnd w:id="794"/>
    <w:bookmarkStart w:id="79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95">
        <w:r>
          <w:rPr>
            <w:rStyle w:val="Hyperlink"/>
          </w:rPr>
          <w:t xml:space="preserve">https://doi.org/10.17775/cseejpes.2019.00230</w:t>
        </w:r>
      </w:hyperlink>
    </w:p>
    <w:bookmarkEnd w:id="796"/>
    <w:bookmarkStart w:id="79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97">
        <w:r>
          <w:rPr>
            <w:rStyle w:val="Hyperlink"/>
          </w:rPr>
          <w:t xml:space="preserve">https://doi.org/10.1080/23251042.2016.1155690</w:t>
        </w:r>
      </w:hyperlink>
    </w:p>
    <w:bookmarkEnd w:id="798"/>
    <w:bookmarkStart w:id="80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99">
        <w:r>
          <w:rPr>
            <w:rStyle w:val="Hyperlink"/>
          </w:rPr>
          <w:t xml:space="preserve">https://doi.org/10.1016/j.isci.2021.103630</w:t>
        </w:r>
      </w:hyperlink>
    </w:p>
    <w:bookmarkEnd w:id="800"/>
    <w:bookmarkStart w:id="802" w:name="ref-hansenStatusPerspectives1002019"/>
    <w:p>
      <w:pPr>
        <w:pStyle w:val="Bibliography"/>
      </w:pPr>
      <w:r>
        <w:t xml:space="preserve">Hansen, K., Breyer, C., Lund, H., 2019. Status and perspectives on 100% renewable energy systems. Energy 175, 471–480.</w:t>
      </w:r>
      <w:r>
        <w:t xml:space="preserve"> </w:t>
      </w:r>
      <w:hyperlink r:id="rId801">
        <w:r>
          <w:rPr>
            <w:rStyle w:val="Hyperlink"/>
          </w:rPr>
          <w:t xml:space="preserve">https://doi.org/10.1016/j.energy.2019.03.092</w:t>
        </w:r>
      </w:hyperlink>
    </w:p>
    <w:bookmarkEnd w:id="802"/>
    <w:bookmarkStart w:id="80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803">
        <w:r>
          <w:rPr>
            <w:rStyle w:val="Hyperlink"/>
          </w:rPr>
          <w:t xml:space="preserve">https://doi.org/10.1002/2050-7038.12128</w:t>
        </w:r>
      </w:hyperlink>
    </w:p>
    <w:bookmarkEnd w:id="804"/>
    <w:bookmarkStart w:id="80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805">
        <w:r>
          <w:rPr>
            <w:rStyle w:val="Hyperlink"/>
          </w:rPr>
          <w:t xml:space="preserve">https://doi.org/10.1109/tpwrs.2020.3041774</w:t>
        </w:r>
      </w:hyperlink>
    </w:p>
    <w:bookmarkEnd w:id="806"/>
    <w:bookmarkStart w:id="808" w:name="ref-hayekUseKnowledgeSociety1945"/>
    <w:p>
      <w:pPr>
        <w:pStyle w:val="Bibliography"/>
      </w:pPr>
      <w:r>
        <w:t xml:space="preserve">Hayek, F.A., 1945.</w:t>
      </w:r>
      <w:r>
        <w:t xml:space="preserve"> </w:t>
      </w:r>
      <w:hyperlink r:id="rId80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808"/>
    <w:bookmarkStart w:id="810" w:name="ref-heggartyQuantifyingPowerSystem2020"/>
    <w:p>
      <w:pPr>
        <w:pStyle w:val="Bibliography"/>
      </w:pPr>
      <w:r>
        <w:t xml:space="preserve">Heggarty, T., Bourmaud, J.Y., Girard, R., Kariniotakis, G., 2020. Quantifying power system flexibility provision. Applied Energy 279.</w:t>
      </w:r>
      <w:r>
        <w:t xml:space="preserve"> </w:t>
      </w:r>
      <w:hyperlink r:id="rId809">
        <w:r>
          <w:rPr>
            <w:rStyle w:val="Hyperlink"/>
          </w:rPr>
          <w:t xml:space="preserve">https://doi.org/10.1016/j.apenergy.2020.115852</w:t>
        </w:r>
      </w:hyperlink>
    </w:p>
    <w:bookmarkEnd w:id="810"/>
    <w:bookmarkStart w:id="81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811">
        <w:r>
          <w:rPr>
            <w:rStyle w:val="Hyperlink"/>
          </w:rPr>
          <w:t xml:space="preserve">https://doi.org/10.1002/wene.341</w:t>
        </w:r>
      </w:hyperlink>
    </w:p>
    <w:bookmarkEnd w:id="812"/>
    <w:bookmarkStart w:id="81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813">
        <w:r>
          <w:rPr>
            <w:rStyle w:val="Hyperlink"/>
          </w:rPr>
          <w:t xml:space="preserve">https://doi.org/10.3390/en13195020</w:t>
        </w:r>
      </w:hyperlink>
    </w:p>
    <w:bookmarkEnd w:id="814"/>
    <w:bookmarkStart w:id="81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815"/>
    <w:bookmarkStart w:id="81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816">
        <w:r>
          <w:rPr>
            <w:rStyle w:val="Hyperlink"/>
          </w:rPr>
          <w:t xml:space="preserve">https://doi.org/10.5547/01956574.37.3.lhir</w:t>
        </w:r>
      </w:hyperlink>
    </w:p>
    <w:bookmarkEnd w:id="817"/>
    <w:bookmarkStart w:id="81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818">
        <w:r>
          <w:rPr>
            <w:rStyle w:val="Hyperlink"/>
          </w:rPr>
          <w:t xml:space="preserve">https://doi.org/10.1016/j.rser.2015.04.180</w:t>
        </w:r>
      </w:hyperlink>
    </w:p>
    <w:bookmarkEnd w:id="819"/>
    <w:bookmarkStart w:id="82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820">
        <w:r>
          <w:rPr>
            <w:rStyle w:val="Hyperlink"/>
          </w:rPr>
          <w:t xml:space="preserve">https://doi.org/10.1002/wene.376</w:t>
        </w:r>
      </w:hyperlink>
    </w:p>
    <w:bookmarkEnd w:id="821"/>
    <w:bookmarkStart w:id="82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822">
        <w:r>
          <w:rPr>
            <w:rStyle w:val="Hyperlink"/>
          </w:rPr>
          <w:t xml:space="preserve">https://doi.org/10.1109/mpe.2018.2871736</w:t>
        </w:r>
      </w:hyperlink>
    </w:p>
    <w:bookmarkEnd w:id="823"/>
    <w:bookmarkStart w:id="825" w:name="ref-hoganVirtualBiddingElectricity2016a"/>
    <w:p>
      <w:pPr>
        <w:pStyle w:val="Bibliography"/>
      </w:pPr>
      <w:r>
        <w:t xml:space="preserve">Hogan, W.W., 2016. Virtual bidding and electricity market design. The Electricity Journal 29, 33–47.</w:t>
      </w:r>
      <w:r>
        <w:t xml:space="preserve"> </w:t>
      </w:r>
      <w:hyperlink r:id="rId824">
        <w:r>
          <w:rPr>
            <w:rStyle w:val="Hyperlink"/>
          </w:rPr>
          <w:t xml:space="preserve">https://doi.org/10.1016/j.tej.2016.05.009</w:t>
        </w:r>
      </w:hyperlink>
    </w:p>
    <w:bookmarkEnd w:id="825"/>
    <w:bookmarkStart w:id="827" w:name="ref-hoganElectricityScarcityPricing2013"/>
    <w:p>
      <w:pPr>
        <w:pStyle w:val="Bibliography"/>
      </w:pPr>
      <w:r>
        <w:t xml:space="preserve">Hogan, W.W., 2013. Electricity scarcity pricing through operating reserves. Economics of Energy and Environmental Policy 2, 65–86.</w:t>
      </w:r>
      <w:r>
        <w:t xml:space="preserve"> </w:t>
      </w:r>
      <w:hyperlink r:id="rId826">
        <w:r>
          <w:rPr>
            <w:rStyle w:val="Hyperlink"/>
          </w:rPr>
          <w:t xml:space="preserve">https://doi.org/10.5547/2160-5890.2.2.4</w:t>
        </w:r>
      </w:hyperlink>
    </w:p>
    <w:bookmarkEnd w:id="827"/>
    <w:bookmarkStart w:id="82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828"/>
    <w:bookmarkStart w:id="82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829"/>
    <w:bookmarkStart w:id="83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830">
        <w:r>
          <w:rPr>
            <w:rStyle w:val="Hyperlink"/>
          </w:rPr>
          <w:t xml:space="preserve">https://doi.org/10.1109/pesmg.2013.6673067</w:t>
        </w:r>
      </w:hyperlink>
    </w:p>
    <w:bookmarkEnd w:id="831"/>
    <w:bookmarkStart w:id="833" w:name="ref-hopwoodMandatoryPrimaryFrequency2019"/>
    <w:p>
      <w:pPr>
        <w:pStyle w:val="Bibliography"/>
      </w:pPr>
      <w:r>
        <w:t xml:space="preserve">Hopwood, C., 2019.</w:t>
      </w:r>
      <w:r>
        <w:t xml:space="preserve"> </w:t>
      </w:r>
      <w:hyperlink r:id="rId83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33"/>
    <w:bookmarkStart w:id="83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34">
        <w:r>
          <w:rPr>
            <w:rStyle w:val="Hyperlink"/>
          </w:rPr>
          <w:t xml:space="preserve">https://doi.org/10.1016/j.tej.2017.01.009</w:t>
        </w:r>
      </w:hyperlink>
    </w:p>
    <w:bookmarkEnd w:id="835"/>
    <w:bookmarkStart w:id="83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36">
        <w:r>
          <w:rPr>
            <w:rStyle w:val="Hyperlink"/>
          </w:rPr>
          <w:t xml:space="preserve">https://doi.org/10.1016/j.enpol.2004.04.003</w:t>
        </w:r>
      </w:hyperlink>
    </w:p>
    <w:bookmarkEnd w:id="837"/>
    <w:bookmarkStart w:id="839" w:name="ref-huangfuParallelizingDualRevised2018"/>
    <w:p>
      <w:pPr>
        <w:pStyle w:val="Bibliography"/>
      </w:pPr>
      <w:r>
        <w:t xml:space="preserve">Huangfu, Q., Hall, J.A.J., 2018. Parallelizing the dual revised simplex method. Math. Prog. Comp. 10, 119–142.</w:t>
      </w:r>
      <w:r>
        <w:t xml:space="preserve"> </w:t>
      </w:r>
      <w:hyperlink r:id="rId838">
        <w:r>
          <w:rPr>
            <w:rStyle w:val="Hyperlink"/>
          </w:rPr>
          <w:t xml:space="preserve">https://doi.org/10.1007/s12532-017-0130-5</w:t>
        </w:r>
      </w:hyperlink>
    </w:p>
    <w:bookmarkEnd w:id="839"/>
    <w:bookmarkStart w:id="84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40"/>
    <w:bookmarkStart w:id="84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41">
        <w:r>
          <w:rPr>
            <w:rStyle w:val="Hyperlink"/>
          </w:rPr>
          <w:t xml:space="preserve">https://doi.org/10.1109/MCSE.2007.55</w:t>
        </w:r>
      </w:hyperlink>
    </w:p>
    <w:bookmarkEnd w:id="842"/>
    <w:bookmarkStart w:id="84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43">
        <w:r>
          <w:rPr>
            <w:rStyle w:val="Hyperlink"/>
          </w:rPr>
          <w:t xml:space="preserve">https://doi.org/10.1016/j.tej.2004.03.001</w:t>
        </w:r>
      </w:hyperlink>
    </w:p>
    <w:bookmarkEnd w:id="844"/>
    <w:bookmarkStart w:id="84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45">
        <w:r>
          <w:rPr>
            <w:rStyle w:val="Hyperlink"/>
          </w:rPr>
          <w:t xml:space="preserve">https://www.ibm.com/au-en/analytics/cplex-optimizer</w:t>
        </w:r>
      </w:hyperlink>
      <w:r>
        <w:t xml:space="preserve"> </w:t>
      </w:r>
      <w:r>
        <w:t xml:space="preserve">(accessed 4.13.2022).</w:t>
      </w:r>
    </w:p>
    <w:bookmarkEnd w:id="846"/>
    <w:bookmarkStart w:id="848" w:name="X1037d6da6301a89f5efffbd855b21f9bbda8894"/>
    <w:p>
      <w:pPr>
        <w:pStyle w:val="Bibliography"/>
      </w:pPr>
      <w:r>
        <w:t xml:space="preserve">International Energy Agency, 2022.</w:t>
      </w:r>
      <w:r>
        <w:t xml:space="preserve"> </w:t>
      </w:r>
      <w:hyperlink r:id="rId847">
        <w:r>
          <w:rPr>
            <w:rStyle w:val="Hyperlink"/>
          </w:rPr>
          <w:t xml:space="preserve">Grid-</w:t>
        </w:r>
        <w:r>
          <w:rPr>
            <w:rStyle w:val="Hyperlink"/>
          </w:rPr>
          <w:t xml:space="preserve">Scale Storage</w:t>
        </w:r>
      </w:hyperlink>
      <w:r>
        <w:t xml:space="preserve">. IEA, Paris.</w:t>
      </w:r>
    </w:p>
    <w:bookmarkEnd w:id="848"/>
    <w:bookmarkStart w:id="850" w:name="X707547308052f2a4e45271b892818fca7267bcd"/>
    <w:p>
      <w:pPr>
        <w:pStyle w:val="Bibliography"/>
      </w:pPr>
      <w:r>
        <w:t xml:space="preserve">International Energy Agency, 2021.</w:t>
      </w:r>
      <w:r>
        <w:t xml:space="preserve"> </w:t>
      </w:r>
      <w:hyperlink r:id="rId84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50"/>
    <w:bookmarkStart w:id="852" w:name="X6b2116a6968c52d8682ee37430ab1b91744235c"/>
    <w:p>
      <w:pPr>
        <w:pStyle w:val="Bibliography"/>
      </w:pPr>
      <w:r>
        <w:t xml:space="preserve">International Energy Agency, 2019.</w:t>
      </w:r>
      <w:r>
        <w:t xml:space="preserve"> </w:t>
      </w:r>
      <w:hyperlink r:id="rId85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52"/>
    <w:bookmarkStart w:id="854" w:name="X5702379ab7044657f92d907dee213956d626f72"/>
    <w:p>
      <w:pPr>
        <w:pStyle w:val="Bibliography"/>
      </w:pPr>
      <w:r>
        <w:t xml:space="preserve">International Renewable Energy Agency, 2020.</w:t>
      </w:r>
      <w:r>
        <w:t xml:space="preserve"> </w:t>
      </w:r>
      <w:hyperlink r:id="rId853">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54"/>
    <w:bookmarkStart w:id="856" w:name="X5316849afe108aafa78b3d12ef1f7591052075a"/>
    <w:p>
      <w:pPr>
        <w:pStyle w:val="Bibliography"/>
      </w:pPr>
      <w:r>
        <w:t xml:space="preserve">International Renewable Energy Agency, 2019.</w:t>
      </w:r>
      <w:r>
        <w:t xml:space="preserve"> </w:t>
      </w:r>
      <w:hyperlink r:id="rId855">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56"/>
    <w:bookmarkStart w:id="858" w:name="X9c70bbcc64628077ae6dafbc022a421cfbf5c25"/>
    <w:p>
      <w:pPr>
        <w:pStyle w:val="Bibliography"/>
      </w:pPr>
      <w:r>
        <w:t xml:space="preserve">International Renewable Energy Agency, 2017.</w:t>
      </w:r>
      <w:r>
        <w:t xml:space="preserve"> </w:t>
      </w:r>
      <w:hyperlink r:id="rId857">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58"/>
    <w:bookmarkStart w:id="86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59">
        <w:r>
          <w:rPr>
            <w:rStyle w:val="Hyperlink"/>
          </w:rPr>
          <w:t xml:space="preserve">https://doi.org/10.1016/j.enpol.2008.06.033</w:t>
        </w:r>
      </w:hyperlink>
    </w:p>
    <w:bookmarkEnd w:id="860"/>
    <w:bookmarkStart w:id="86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61">
        <w:r>
          <w:rPr>
            <w:rStyle w:val="Hyperlink"/>
          </w:rPr>
          <w:t xml:space="preserve">https://doi.org/10.1016/j.tej.2006.09.010</w:t>
        </w:r>
      </w:hyperlink>
    </w:p>
    <w:bookmarkEnd w:id="862"/>
    <w:bookmarkStart w:id="86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63">
        <w:r>
          <w:rPr>
            <w:rStyle w:val="Hyperlink"/>
          </w:rPr>
          <w:t xml:space="preserve">https://doi.org/10.1017/S1744137421000400</w:t>
        </w:r>
      </w:hyperlink>
    </w:p>
    <w:bookmarkEnd w:id="864"/>
    <w:bookmarkStart w:id="866" w:name="ref-juliadataDataFramesJl2023"/>
    <w:p>
      <w:pPr>
        <w:pStyle w:val="Bibliography"/>
      </w:pPr>
      <w:r>
        <w:t xml:space="preserve">JuliaData, 2023.</w:t>
      </w:r>
      <w:r>
        <w:t xml:space="preserve"> </w:t>
      </w:r>
      <w:r>
        <w:t xml:space="preserve">DataFrames</w:t>
      </w:r>
      <w:r>
        <w:t xml:space="preserve">.jl [WWW Document]. URL</w:t>
      </w:r>
      <w:r>
        <w:t xml:space="preserve"> </w:t>
      </w:r>
      <w:hyperlink r:id="rId865">
        <w:r>
          <w:rPr>
            <w:rStyle w:val="Hyperlink"/>
          </w:rPr>
          <w:t xml:space="preserve">https://dataframes.juliadata.org/stable/</w:t>
        </w:r>
      </w:hyperlink>
      <w:r>
        <w:t xml:space="preserve"> </w:t>
      </w:r>
      <w:r>
        <w:t xml:space="preserve">(accessed 11.27.2023).</w:t>
      </w:r>
    </w:p>
    <w:bookmarkEnd w:id="866"/>
    <w:bookmarkStart w:id="86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67">
        <w:r>
          <w:rPr>
            <w:rStyle w:val="Hyperlink"/>
          </w:rPr>
          <w:t xml:space="preserve">https://doi.org/10.2139/ssrn.4428450</w:t>
        </w:r>
      </w:hyperlink>
    </w:p>
    <w:bookmarkEnd w:id="868"/>
    <w:bookmarkStart w:id="86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69"/>
    <w:bookmarkStart w:id="87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70">
        <w:r>
          <w:rPr>
            <w:rStyle w:val="Hyperlink"/>
          </w:rPr>
          <w:t xml:space="preserve">https://doi.org/10.1016/j.enpol.2020.112005</w:t>
        </w:r>
      </w:hyperlink>
    </w:p>
    <w:bookmarkEnd w:id="871"/>
    <w:bookmarkStart w:id="87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72">
        <w:r>
          <w:rPr>
            <w:rStyle w:val="Hyperlink"/>
          </w:rPr>
          <w:t xml:space="preserve">https://doi.org/10.1016/j.renene.2020.11.090</w:t>
        </w:r>
      </w:hyperlink>
    </w:p>
    <w:bookmarkEnd w:id="873"/>
    <w:bookmarkStart w:id="87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74">
        <w:r>
          <w:rPr>
            <w:rStyle w:val="Hyperlink"/>
          </w:rPr>
          <w:t xml:space="preserve">https://doi.org/10.1016/j.solener.2020.05.053</w:t>
        </w:r>
      </w:hyperlink>
    </w:p>
    <w:bookmarkEnd w:id="875"/>
    <w:bookmarkStart w:id="87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76">
        <w:r>
          <w:rPr>
            <w:rStyle w:val="Hyperlink"/>
          </w:rPr>
          <w:t xml:space="preserve">https://doi.org/10.1016/j.enpol.2022.113273</w:t>
        </w:r>
      </w:hyperlink>
    </w:p>
    <w:bookmarkEnd w:id="877"/>
    <w:bookmarkStart w:id="87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78"/>
    <w:bookmarkStart w:id="87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79"/>
    <w:bookmarkStart w:id="88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80">
        <w:r>
          <w:rPr>
            <w:rStyle w:val="Hyperlink"/>
          </w:rPr>
          <w:t xml:space="preserve">https://doi.org/10.1002/0470020598</w:t>
        </w:r>
      </w:hyperlink>
    </w:p>
    <w:bookmarkEnd w:id="881"/>
    <w:bookmarkStart w:id="88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82">
        <w:r>
          <w:rPr>
            <w:rStyle w:val="Hyperlink"/>
          </w:rPr>
          <w:t xml:space="preserve">https://doi.org/10.1287/ijoc.2019.0944</w:t>
        </w:r>
      </w:hyperlink>
    </w:p>
    <w:bookmarkEnd w:id="883"/>
    <w:bookmarkStart w:id="88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84">
        <w:r>
          <w:rPr>
            <w:rStyle w:val="Hyperlink"/>
          </w:rPr>
          <w:t xml:space="preserve">https://doi.org/10.1109/TPWRS.2017.2685347</w:t>
        </w:r>
      </w:hyperlink>
    </w:p>
    <w:bookmarkEnd w:id="885"/>
    <w:bookmarkStart w:id="88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86">
        <w:r>
          <w:rPr>
            <w:rStyle w:val="Hyperlink"/>
          </w:rPr>
          <w:t xml:space="preserve">https://doi.org/10.1109/MPE.2016.2524964</w:t>
        </w:r>
      </w:hyperlink>
    </w:p>
    <w:bookmarkEnd w:id="887"/>
    <w:bookmarkStart w:id="88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88">
        <w:r>
          <w:rPr>
            <w:rStyle w:val="Hyperlink"/>
          </w:rPr>
          <w:t xml:space="preserve">https://doi.org/10.1109/mpe.2016.2637122</w:t>
        </w:r>
      </w:hyperlink>
    </w:p>
    <w:bookmarkEnd w:id="889"/>
    <w:bookmarkStart w:id="891" w:name="ref-kuiperWhatStateVirtual2022"/>
    <w:p>
      <w:pPr>
        <w:pStyle w:val="Bibliography"/>
      </w:pPr>
      <w:r>
        <w:t xml:space="preserve">Kuiper, G., 2022.</w:t>
      </w:r>
      <w:r>
        <w:t xml:space="preserve"> </w:t>
      </w:r>
      <w:hyperlink r:id="rId89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91"/>
    <w:bookmarkStart w:id="89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92">
        <w:r>
          <w:rPr>
            <w:rStyle w:val="Hyperlink"/>
          </w:rPr>
          <w:t xml:space="preserve">https://doi.org/10.2172/1046269</w:t>
        </w:r>
      </w:hyperlink>
    </w:p>
    <w:bookmarkEnd w:id="893"/>
    <w:bookmarkStart w:id="89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94">
        <w:r>
          <w:rPr>
            <w:rStyle w:val="Hyperlink"/>
          </w:rPr>
          <w:t xml:space="preserve">https://doi.org/10.1016/j.apenergy.2021.116983</w:t>
        </w:r>
      </w:hyperlink>
    </w:p>
    <w:bookmarkEnd w:id="895"/>
    <w:bookmarkStart w:id="89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96">
        <w:r>
          <w:rPr>
            <w:rStyle w:val="Hyperlink"/>
          </w:rPr>
          <w:t xml:space="preserve">https://doi.org/10.1016/j.rser.2020.110467</w:t>
        </w:r>
      </w:hyperlink>
    </w:p>
    <w:bookmarkEnd w:id="897"/>
    <w:bookmarkStart w:id="89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98">
        <w:r>
          <w:rPr>
            <w:rStyle w:val="Hyperlink"/>
          </w:rPr>
          <w:t xml:space="preserve">https://doi.org/10.1109/mpe.2021.3088959</w:t>
        </w:r>
      </w:hyperlink>
    </w:p>
    <w:bookmarkEnd w:id="899"/>
    <w:bookmarkStart w:id="901" w:name="ref-lambertChallengeLongTermPolicy2003"/>
    <w:p>
      <w:pPr>
        <w:pStyle w:val="Bibliography"/>
      </w:pPr>
      <w:r>
        <w:t xml:space="preserve">Lambert, R.J., Popper, S.W., Banks, S.C., 2003.</w:t>
      </w:r>
      <w:r>
        <w:t xml:space="preserve"> </w:t>
      </w:r>
      <w:hyperlink r:id="rId90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901"/>
    <w:bookmarkStart w:id="90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902">
        <w:r>
          <w:rPr>
            <w:rStyle w:val="Hyperlink"/>
          </w:rPr>
          <w:t xml:space="preserve">https://doi.org/10.1109/tpwrs.2014.2321793</w:t>
        </w:r>
      </w:hyperlink>
    </w:p>
    <w:bookmarkEnd w:id="903"/>
    <w:bookmarkStart w:id="90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904">
        <w:r>
          <w:rPr>
            <w:rStyle w:val="Hyperlink"/>
          </w:rPr>
          <w:t xml:space="preserve">https://doi.org/10.1109/tpwrs.2011.2177280</w:t>
        </w:r>
      </w:hyperlink>
    </w:p>
    <w:bookmarkEnd w:id="905"/>
    <w:bookmarkStart w:id="90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906">
        <w:r>
          <w:rPr>
            <w:rStyle w:val="Hyperlink"/>
          </w:rPr>
          <w:t xml:space="preserve">https://doi.org/10.1109/pesgm.2012.6345375</w:t>
        </w:r>
      </w:hyperlink>
    </w:p>
    <w:bookmarkEnd w:id="907"/>
    <w:bookmarkStart w:id="90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908">
        <w:r>
          <w:rPr>
            <w:rStyle w:val="Hyperlink"/>
          </w:rPr>
          <w:t xml:space="preserve">https://doi.org/10.2172/1220243</w:t>
        </w:r>
      </w:hyperlink>
    </w:p>
    <w:bookmarkEnd w:id="909"/>
    <w:bookmarkStart w:id="91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910"/>
    <w:bookmarkStart w:id="91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911">
        <w:r>
          <w:rPr>
            <w:rStyle w:val="Hyperlink"/>
          </w:rPr>
          <w:t xml:space="preserve">https://doi.org/10.2307/2296233</w:t>
        </w:r>
      </w:hyperlink>
    </w:p>
    <w:bookmarkEnd w:id="912"/>
    <w:bookmarkStart w:id="91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913">
        <w:r>
          <w:rPr>
            <w:rStyle w:val="Hyperlink"/>
          </w:rPr>
          <w:t xml:space="preserve">https://doi.org/10.1016/j.tej.2021.106969</w:t>
        </w:r>
      </w:hyperlink>
    </w:p>
    <w:bookmarkEnd w:id="914"/>
    <w:bookmarkStart w:id="91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915">
        <w:r>
          <w:rPr>
            <w:rStyle w:val="Hyperlink"/>
          </w:rPr>
          <w:t xml:space="preserve">https://doi.org/10.1109/MPE.2021.3072819</w:t>
        </w:r>
      </w:hyperlink>
    </w:p>
    <w:bookmarkEnd w:id="916"/>
    <w:bookmarkStart w:id="91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917">
        <w:r>
          <w:rPr>
            <w:rStyle w:val="Hyperlink"/>
          </w:rPr>
          <w:t xml:space="preserve">https://doi.org/10.1016/j.enpol.2021.112169</w:t>
        </w:r>
      </w:hyperlink>
    </w:p>
    <w:bookmarkEnd w:id="918"/>
    <w:bookmarkStart w:id="92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919">
        <w:r>
          <w:rPr>
            <w:rStyle w:val="Hyperlink"/>
          </w:rPr>
          <w:t xml:space="preserve">https://doi.org/10.1016/j.enpol.2020.111739</w:t>
        </w:r>
      </w:hyperlink>
    </w:p>
    <w:bookmarkEnd w:id="920"/>
    <w:bookmarkStart w:id="92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921">
        <w:r>
          <w:rPr>
            <w:rStyle w:val="Hyperlink"/>
          </w:rPr>
          <w:t xml:space="preserve">https://doi.org/10.1007/s12532-023-00239-3</w:t>
        </w:r>
      </w:hyperlink>
    </w:p>
    <w:bookmarkEnd w:id="922"/>
    <w:bookmarkStart w:id="92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923">
        <w:r>
          <w:rPr>
            <w:rStyle w:val="Hyperlink"/>
          </w:rPr>
          <w:t xml:space="preserve">https://doi.org/10.1109/pesgm41954.2020.9282169</w:t>
        </w:r>
      </w:hyperlink>
    </w:p>
    <w:bookmarkEnd w:id="924"/>
    <w:bookmarkStart w:id="92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925">
        <w:r>
          <w:rPr>
            <w:rStyle w:val="Hyperlink"/>
          </w:rPr>
          <w:t xml:space="preserve">https://doi.org/10.1016/j.tej.2020.106831</w:t>
        </w:r>
      </w:hyperlink>
    </w:p>
    <w:bookmarkEnd w:id="926"/>
    <w:bookmarkStart w:id="92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927">
        <w:r>
          <w:rPr>
            <w:rStyle w:val="Hyperlink"/>
          </w:rPr>
          <w:t xml:space="preserve">https://doi.org/10.1016/B978-0-12-397891-2.00020-1</w:t>
        </w:r>
      </w:hyperlink>
    </w:p>
    <w:bookmarkEnd w:id="928"/>
    <w:bookmarkStart w:id="93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929">
        <w:r>
          <w:rPr>
            <w:rStyle w:val="Hyperlink"/>
          </w:rPr>
          <w:t xml:space="preserve">http://dx.doi.org/10.13140/RG.2.2.33241.75362</w:t>
        </w:r>
      </w:hyperlink>
    </w:p>
    <w:bookmarkEnd w:id="930"/>
    <w:bookmarkStart w:id="931" w:name="ref-machol1965system"/>
    <w:p>
      <w:pPr>
        <w:pStyle w:val="Bibliography"/>
      </w:pPr>
      <w:r>
        <w:t xml:space="preserve">Machol, R.E., 1965. System engineering handbook. New York: McGraw-Hill.</w:t>
      </w:r>
    </w:p>
    <w:bookmarkEnd w:id="931"/>
    <w:bookmarkStart w:id="93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32"/>
    <w:bookmarkStart w:id="934" w:name="ref-magoERCOTOperationalExperience2023"/>
    <w:p>
      <w:pPr>
        <w:pStyle w:val="Bibliography"/>
      </w:pPr>
      <w:r>
        <w:t xml:space="preserve">Mago, N., 2023.</w:t>
      </w:r>
      <w:r>
        <w:t xml:space="preserve"> </w:t>
      </w:r>
      <w:hyperlink r:id="rId93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34"/>
    <w:bookmarkStart w:id="93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35">
        <w:r>
          <w:rPr>
            <w:rStyle w:val="Hyperlink"/>
          </w:rPr>
          <w:t xml:space="preserve">https://doi.org/10.1109/mpe.2020.3043570</w:t>
        </w:r>
      </w:hyperlink>
    </w:p>
    <w:bookmarkEnd w:id="936"/>
    <w:bookmarkStart w:id="93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37">
        <w:r>
          <w:rPr>
            <w:rStyle w:val="Hyperlink"/>
          </w:rPr>
          <w:t xml:space="preserve">https://doi.org/10.1002/0471668826</w:t>
        </w:r>
      </w:hyperlink>
    </w:p>
    <w:bookmarkEnd w:id="938"/>
    <w:bookmarkStart w:id="94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39">
        <w:r>
          <w:rPr>
            <w:rStyle w:val="Hyperlink"/>
          </w:rPr>
          <w:t xml:space="preserve">https://doi.org/10.1109/mpe.2021.3104075</w:t>
        </w:r>
      </w:hyperlink>
    </w:p>
    <w:bookmarkEnd w:id="940"/>
    <w:bookmarkStart w:id="94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41">
        <w:r>
          <w:rPr>
            <w:rStyle w:val="Hyperlink"/>
          </w:rPr>
          <w:t xml:space="preserve">https://doi.org/10.1039/D1EE01530C</w:t>
        </w:r>
      </w:hyperlink>
    </w:p>
    <w:bookmarkEnd w:id="942"/>
    <w:bookmarkStart w:id="944" w:name="ref-maysMissingIncentivesFlexibility2021"/>
    <w:p>
      <w:pPr>
        <w:pStyle w:val="Bibliography"/>
      </w:pPr>
      <w:r>
        <w:t xml:space="preserve">Mays, J., 2021. Missing incentives for flexibility in wholesale electricity markets. Energy Policy 149, 112010.</w:t>
      </w:r>
      <w:r>
        <w:t xml:space="preserve"> </w:t>
      </w:r>
      <w:hyperlink r:id="rId943">
        <w:r>
          <w:rPr>
            <w:rStyle w:val="Hyperlink"/>
          </w:rPr>
          <w:t xml:space="preserve">https://doi.org/10.1016/j.enpol.2020.112010</w:t>
        </w:r>
      </w:hyperlink>
    </w:p>
    <w:bookmarkEnd w:id="944"/>
    <w:bookmarkStart w:id="94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45">
        <w:r>
          <w:rPr>
            <w:rStyle w:val="Hyperlink"/>
          </w:rPr>
          <w:t xml:space="preserve">https://doi.org/10.1016/j.joule.2022.01.004</w:t>
        </w:r>
      </w:hyperlink>
    </w:p>
    <w:bookmarkEnd w:id="946"/>
    <w:bookmarkStart w:id="94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47">
        <w:r>
          <w:rPr>
            <w:rStyle w:val="Hyperlink"/>
          </w:rPr>
          <w:t xml:space="preserve">https://wattclarity.com.au/articles/2022/07/file-creation-times-for-p5min-drop-prior-to-the-end-of-the-market-suspension/</w:t>
        </w:r>
      </w:hyperlink>
      <w:r>
        <w:t xml:space="preserve"> </w:t>
      </w:r>
      <w:r>
        <w:t xml:space="preserve">(accessed 8.11.2023).</w:t>
      </w:r>
    </w:p>
    <w:bookmarkEnd w:id="948"/>
    <w:bookmarkStart w:id="950" w:name="ref-mcardleRiseAutobidder2021"/>
    <w:p>
      <w:pPr>
        <w:pStyle w:val="Bibliography"/>
      </w:pPr>
      <w:r>
        <w:t xml:space="preserve">McArdle, P., 2021b. The rise of the auto-bidder [WWW Document]. URL</w:t>
      </w:r>
      <w:r>
        <w:t xml:space="preserve"> </w:t>
      </w:r>
      <w:hyperlink r:id="rId949">
        <w:r>
          <w:rPr>
            <w:rStyle w:val="Hyperlink"/>
          </w:rPr>
          <w:t xml:space="preserve">https://wattclarity.com.au/articles/2021/10/26oct-the-rise-of-the-auto-bidder/</w:t>
        </w:r>
      </w:hyperlink>
      <w:r>
        <w:t xml:space="preserve"> </w:t>
      </w:r>
      <w:r>
        <w:t xml:space="preserve">(accessed 8.16.2023).</w:t>
      </w:r>
    </w:p>
    <w:bookmarkEnd w:id="950"/>
    <w:bookmarkStart w:id="95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51">
        <w:r>
          <w:rPr>
            <w:rStyle w:val="Hyperlink"/>
          </w:rPr>
          <w:t xml:space="preserve">https://wattclarity.com.au/articles/2021/12/two-improvements-in-nemde-dispatch/</w:t>
        </w:r>
      </w:hyperlink>
      <w:r>
        <w:t xml:space="preserve"> </w:t>
      </w:r>
      <w:r>
        <w:t xml:space="preserve">(accessed 5.23.2022).</w:t>
      </w:r>
    </w:p>
    <w:bookmarkEnd w:id="952"/>
    <w:bookmarkStart w:id="95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53">
        <w:r>
          <w:rPr>
            <w:rStyle w:val="Hyperlink"/>
          </w:rPr>
          <w:t xml:space="preserve">https://doi.org/10.1016/j.apenergy.2015.09.006</w:t>
        </w:r>
      </w:hyperlink>
    </w:p>
    <w:bookmarkEnd w:id="954"/>
    <w:bookmarkStart w:id="95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55">
        <w:r>
          <w:rPr>
            <w:rStyle w:val="Hyperlink"/>
          </w:rPr>
          <w:t xml:space="preserve">https://doi.org/10.25080/Majora-92bf1922-00a</w:t>
        </w:r>
      </w:hyperlink>
    </w:p>
    <w:bookmarkEnd w:id="956"/>
    <w:bookmarkStart w:id="95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57">
        <w:r>
          <w:rPr>
            <w:rStyle w:val="Hyperlink"/>
          </w:rPr>
          <w:t xml:space="preserve">https://doi.org/10.1016/j.est.2020.101573</w:t>
        </w:r>
      </w:hyperlink>
    </w:p>
    <w:bookmarkEnd w:id="958"/>
    <w:bookmarkStart w:id="96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59">
        <w:r>
          <w:rPr>
            <w:rStyle w:val="Hyperlink"/>
          </w:rPr>
          <w:t xml:space="preserve">https://doi.org/10.1002/wene.399</w:t>
        </w:r>
      </w:hyperlink>
    </w:p>
    <w:bookmarkEnd w:id="960"/>
    <w:bookmarkStart w:id="96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61">
        <w:r>
          <w:rPr>
            <w:rStyle w:val="Hyperlink"/>
          </w:rPr>
          <w:t xml:space="preserve">https://doi.org/10.23919/pscc.2018.8450880</w:t>
        </w:r>
      </w:hyperlink>
    </w:p>
    <w:bookmarkEnd w:id="962"/>
    <w:bookmarkStart w:id="964" w:name="ref-millerAdvisoryEquipmentLimits2017"/>
    <w:p>
      <w:pPr>
        <w:pStyle w:val="Bibliography"/>
      </w:pPr>
      <w:r>
        <w:t xml:space="preserve">Miller, N., Lew, D., Barnes, S., Ren, W., Reichard, M., Alexander, M., Freeman, L., Achilles, S., Adamiak, M., 2017a.</w:t>
      </w:r>
      <w:r>
        <w:t xml:space="preserve"> </w:t>
      </w:r>
      <w:hyperlink r:id="rId96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64"/>
    <w:bookmarkStart w:id="96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65"/>
    <w:bookmarkStart w:id="96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66">
        <w:r>
          <w:rPr>
            <w:rStyle w:val="Hyperlink"/>
          </w:rPr>
          <w:t xml:space="preserve">https://doi.org/10.1016/j.tej.2011.10.011</w:t>
        </w:r>
      </w:hyperlink>
    </w:p>
    <w:bookmarkEnd w:id="967"/>
    <w:bookmarkStart w:id="96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68"/>
    <w:bookmarkStart w:id="97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69">
        <w:r>
          <w:rPr>
            <w:rStyle w:val="Hyperlink"/>
          </w:rPr>
          <w:t xml:space="preserve">https://doi.org/10.1109/tpwrs.2019.2897727</w:t>
        </w:r>
      </w:hyperlink>
    </w:p>
    <w:bookmarkEnd w:id="970"/>
    <w:bookmarkStart w:id="972" w:name="X924f2cb14b06b22bf527e8a066222b69a4c5b25"/>
    <w:p>
      <w:pPr>
        <w:pStyle w:val="Bibliography"/>
      </w:pPr>
      <w:r>
        <w:t xml:space="preserve">Monitoring Analytics, 2021.</w:t>
      </w:r>
      <w:r>
        <w:t xml:space="preserve"> </w:t>
      </w:r>
      <w:hyperlink r:id="rId97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72"/>
    <w:bookmarkStart w:id="97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73">
        <w:r>
          <w:rPr>
            <w:rStyle w:val="Hyperlink"/>
          </w:rPr>
          <w:t xml:space="preserve">https://doi.org/10.1016/j.ijepes.2013.09.020</w:t>
        </w:r>
      </w:hyperlink>
    </w:p>
    <w:bookmarkEnd w:id="974"/>
    <w:bookmarkStart w:id="97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75">
        <w:r>
          <w:rPr>
            <w:rStyle w:val="Hyperlink"/>
          </w:rPr>
          <w:t xml:space="preserve">https://doi.org/10.1016/j.eneco.2016.09.002</w:t>
        </w:r>
      </w:hyperlink>
    </w:p>
    <w:bookmarkEnd w:id="976"/>
    <w:bookmarkStart w:id="97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77"/>
    <w:bookmarkStart w:id="979" w:name="ref-nemocommitteeSingleIntradayCoupling"/>
    <w:p>
      <w:pPr>
        <w:pStyle w:val="Bibliography"/>
      </w:pPr>
      <w:r>
        <w:t xml:space="preserve">NEMO Committee, n.d. Single Intraday Coupling (SIDC) [WWW Document]. URL</w:t>
      </w:r>
      <w:r>
        <w:t xml:space="preserve"> </w:t>
      </w:r>
      <w:hyperlink r:id="rId978">
        <w:r>
          <w:rPr>
            <w:rStyle w:val="Hyperlink"/>
          </w:rPr>
          <w:t xml:space="preserve">https://nemo-committee.eu/sidc</w:t>
        </w:r>
      </w:hyperlink>
      <w:r>
        <w:t xml:space="preserve"> </w:t>
      </w:r>
      <w:r>
        <w:t xml:space="preserve">(accessed 1.14.2022).</w:t>
      </w:r>
    </w:p>
    <w:bookmarkEnd w:id="979"/>
    <w:bookmarkStart w:id="98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80"/>
    <w:bookmarkStart w:id="98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81">
        <w:r>
          <w:rPr>
            <w:rStyle w:val="Hyperlink"/>
          </w:rPr>
          <w:t xml:space="preserve">https://www.nerc.com/AboutNERC/keyplayers/PublishingImages/NERC%20Interconnections.pdf</w:t>
        </w:r>
      </w:hyperlink>
      <w:r>
        <w:t xml:space="preserve"> </w:t>
      </w:r>
      <w:r>
        <w:t xml:space="preserve">(accessed 10.26.2023).</w:t>
      </w:r>
    </w:p>
    <w:bookmarkEnd w:id="982"/>
    <w:bookmarkStart w:id="984" w:name="X2d2088817746795390ef3fc2d6e57d520a5b77f"/>
    <w:p>
      <w:pPr>
        <w:pStyle w:val="Bibliography"/>
      </w:pPr>
      <w:r>
        <w:t xml:space="preserve">North American Electric Reliability Corporation, 2022.</w:t>
      </w:r>
      <w:r>
        <w:t xml:space="preserve"> </w:t>
      </w:r>
      <w:hyperlink r:id="rId983">
        <w:r>
          <w:rPr>
            <w:rStyle w:val="Hyperlink"/>
          </w:rPr>
          <w:t xml:space="preserve">2022</w:t>
        </w:r>
        <w:r>
          <w:rPr>
            <w:rStyle w:val="Hyperlink"/>
          </w:rPr>
          <w:t xml:space="preserve"> </w:t>
        </w:r>
        <w:r>
          <w:rPr>
            <w:rStyle w:val="Hyperlink"/>
          </w:rPr>
          <w:t xml:space="preserve">Summer Reliability Assessment</w:t>
        </w:r>
      </w:hyperlink>
      <w:r>
        <w:t xml:space="preserve">.</w:t>
      </w:r>
    </w:p>
    <w:bookmarkEnd w:id="984"/>
    <w:bookmarkStart w:id="98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85">
        <w:r>
          <w:rPr>
            <w:rStyle w:val="Hyperlink"/>
          </w:rPr>
          <w:t xml:space="preserve">https://doi.org/10.1109/tste.2015.2410760</w:t>
        </w:r>
      </w:hyperlink>
    </w:p>
    <w:bookmarkEnd w:id="986"/>
    <w:bookmarkStart w:id="98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87">
        <w:r>
          <w:rPr>
            <w:rStyle w:val="Hyperlink"/>
          </w:rPr>
          <w:t xml:space="preserve">https://doi.org/10.1109/eem.2016.7521193</w:t>
        </w:r>
      </w:hyperlink>
    </w:p>
    <w:bookmarkEnd w:id="988"/>
    <w:bookmarkStart w:id="99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89">
        <w:r>
          <w:rPr>
            <w:rStyle w:val="Hyperlink"/>
          </w:rPr>
          <w:t xml:space="preserve">https://doi.org/10.1016/j.rser.2016.09.040</w:t>
        </w:r>
      </w:hyperlink>
    </w:p>
    <w:bookmarkEnd w:id="990"/>
    <w:bookmarkStart w:id="99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91">
        <w:r>
          <w:rPr>
            <w:rStyle w:val="Hyperlink"/>
          </w:rPr>
          <w:t xml:space="preserve">https://doi.org/10.1016/j.eneco.2018.05.003</w:t>
        </w:r>
      </w:hyperlink>
    </w:p>
    <w:bookmarkEnd w:id="992"/>
    <w:bookmarkStart w:id="994" w:name="ref-opennemFacilitiesNEM2024"/>
    <w:p>
      <w:pPr>
        <w:pStyle w:val="Bibliography"/>
      </w:pPr>
      <w:r>
        <w:t xml:space="preserve">OpenNEM, 2024. Facilities:</w:t>
      </w:r>
      <w:r>
        <w:t xml:space="preserve"> </w:t>
      </w:r>
      <w:r>
        <w:t xml:space="preserve">NEM</w:t>
      </w:r>
      <w:r>
        <w:t xml:space="preserve"> </w:t>
      </w:r>
      <w:r>
        <w:t xml:space="preserve">[WWW Document]. URL</w:t>
      </w:r>
      <w:r>
        <w:t xml:space="preserve"> </w:t>
      </w:r>
      <w:hyperlink r:id="rId993">
        <w:r>
          <w:rPr>
            <w:rStyle w:val="Hyperlink"/>
          </w:rPr>
          <w:t xml:space="preserve">https://opennem.org.au</w:t>
        </w:r>
      </w:hyperlink>
      <w:r>
        <w:t xml:space="preserve"> </w:t>
      </w:r>
      <w:r>
        <w:t xml:space="preserve">(accessed 8.12.2024).</w:t>
      </w:r>
    </w:p>
    <w:bookmarkEnd w:id="994"/>
    <w:bookmarkStart w:id="99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95">
        <w:r>
          <w:rPr>
            <w:rStyle w:val="Hyperlink"/>
          </w:rPr>
          <w:t xml:space="preserve">https://doi.org/10.1109/pmaps47429.2020.9183585</w:t>
        </w:r>
      </w:hyperlink>
    </w:p>
    <w:bookmarkEnd w:id="996"/>
    <w:bookmarkStart w:id="99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97">
        <w:r>
          <w:rPr>
            <w:rStyle w:val="Hyperlink"/>
          </w:rPr>
          <w:t xml:space="preserve">https://doi.org/10.1016/j.tej.2018.05.012</w:t>
        </w:r>
      </w:hyperlink>
    </w:p>
    <w:bookmarkEnd w:id="998"/>
    <w:bookmarkStart w:id="100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99">
        <w:r>
          <w:rPr>
            <w:rStyle w:val="Hyperlink"/>
          </w:rPr>
          <w:t xml:space="preserve">https://doi.org/10.1109/TPWRS.2013.2293127</w:t>
        </w:r>
      </w:hyperlink>
    </w:p>
    <w:bookmarkEnd w:id="1000"/>
    <w:bookmarkStart w:id="100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1001">
        <w:r>
          <w:rPr>
            <w:rStyle w:val="Hyperlink"/>
          </w:rPr>
          <w:t xml:space="preserve">https://doi.org/10.1016/j.enpol.2016.01.025</w:t>
        </w:r>
      </w:hyperlink>
    </w:p>
    <w:bookmarkEnd w:id="1002"/>
    <w:bookmarkStart w:id="100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1003">
        <w:r>
          <w:rPr>
            <w:rStyle w:val="Hyperlink"/>
          </w:rPr>
          <w:t xml:space="preserve">https://doi.org/10.1016/j.renene.2018.04.094</w:t>
        </w:r>
      </w:hyperlink>
    </w:p>
    <w:bookmarkEnd w:id="1004"/>
    <w:bookmarkStart w:id="100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1005">
        <w:r>
          <w:rPr>
            <w:rStyle w:val="Hyperlink"/>
          </w:rPr>
          <w:t xml:space="preserve">https://doi.org/10.1016/j.tej.2020.106863</w:t>
        </w:r>
      </w:hyperlink>
    </w:p>
    <w:bookmarkEnd w:id="1006"/>
    <w:bookmarkStart w:id="1008" w:name="Xdc63a814f2962a44a405710d02e5008789fe45d"/>
    <w:p>
      <w:pPr>
        <w:pStyle w:val="Bibliography"/>
      </w:pPr>
      <w:r>
        <w:t xml:space="preserve">Plotly Technologies Inc., 2015. Collaborative data science [WWW Document]. URL</w:t>
      </w:r>
      <w:r>
        <w:t xml:space="preserve"> </w:t>
      </w:r>
      <w:hyperlink r:id="rId1007">
        <w:r>
          <w:rPr>
            <w:rStyle w:val="Hyperlink"/>
          </w:rPr>
          <w:t xml:space="preserve">https://plot.ly</w:t>
        </w:r>
      </w:hyperlink>
    </w:p>
    <w:bookmarkEnd w:id="1008"/>
    <w:bookmarkStart w:id="100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1009"/>
    <w:bookmarkStart w:id="101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1010">
        <w:r>
          <w:rPr>
            <w:rStyle w:val="Hyperlink"/>
          </w:rPr>
          <w:t xml:space="preserve">https://doi.org/10.1016/j.enpol.2018.11.009</w:t>
        </w:r>
      </w:hyperlink>
    </w:p>
    <w:bookmarkEnd w:id="1011"/>
    <w:bookmarkStart w:id="1013"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1012">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1013"/>
    <w:bookmarkStart w:id="1015" w:name="ref-prakashAEMOMonthlyData2023"/>
    <w:p>
      <w:pPr>
        <w:pStyle w:val="Bibliography"/>
      </w:pPr>
      <w:r>
        <w:t xml:space="preserve">Prakash, A., 2023b.</w:t>
      </w:r>
      <w:r>
        <w:t xml:space="preserve"> </w:t>
      </w:r>
      <w:hyperlink r:id="rId1014">
        <w:r>
          <w:rPr>
            <w:rStyle w:val="Hyperlink"/>
          </w:rPr>
          <w:t xml:space="preserve">AEMO Monthly Data Archive Tool</w:t>
        </w:r>
      </w:hyperlink>
      <w:r>
        <w:t xml:space="preserve">.</w:t>
      </w:r>
    </w:p>
    <w:bookmarkEnd w:id="1015"/>
    <w:bookmarkStart w:id="1017"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101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1017"/>
    <w:bookmarkStart w:id="1019"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1018">
        <w:r>
          <w:rPr>
            <w:rStyle w:val="Hyperlink"/>
          </w:rPr>
          <w:t xml:space="preserve">https://nemseer.readthedocs.io/en/latest/examples/pd_demand_forecast_error_2021.html</w:t>
        </w:r>
      </w:hyperlink>
      <w:r>
        <w:t xml:space="preserve"> </w:t>
      </w:r>
      <w:r>
        <w:t xml:space="preserve">(accessed 8.18.2023).</w:t>
      </w:r>
    </w:p>
    <w:bookmarkEnd w:id="1019"/>
    <w:bookmarkStart w:id="1021" w:name="ref-prakashNEMReBidding2023"/>
    <w:p>
      <w:pPr>
        <w:pStyle w:val="Bibliography"/>
      </w:pPr>
      <w:r>
        <w:t xml:space="preserve">Prakash, A., 2023e.</w:t>
      </w:r>
      <w:r>
        <w:t xml:space="preserve"> </w:t>
      </w:r>
      <w:hyperlink r:id="rId102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1021"/>
    <w:bookmarkStart w:id="1023"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1022">
        <w:r>
          <w:rPr>
            <w:rStyle w:val="Hyperlink"/>
          </w:rPr>
          <w:t xml:space="preserve">https://doi.org/10.5281/ZENODO.8118850</w:t>
        </w:r>
      </w:hyperlink>
    </w:p>
    <w:bookmarkEnd w:id="1023"/>
    <w:bookmarkStart w:id="1025"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1024">
        <w:r>
          <w:rPr>
            <w:rStyle w:val="Hyperlink"/>
          </w:rPr>
          <w:t xml:space="preserve">https://doi.org/10.1016/j.enpol.2023.113551</w:t>
        </w:r>
      </w:hyperlink>
    </w:p>
    <w:bookmarkEnd w:id="1025"/>
    <w:bookmarkStart w:id="1027"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1026">
        <w:r>
          <w:rPr>
            <w:rStyle w:val="Hyperlink"/>
          </w:rPr>
          <w:t xml:space="preserve">https://doi.org/10.21105/joss.05883</w:t>
        </w:r>
      </w:hyperlink>
    </w:p>
    <w:bookmarkEnd w:id="1027"/>
    <w:bookmarkStart w:id="1029"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1028">
        <w:r>
          <w:rPr>
            <w:rStyle w:val="Hyperlink"/>
          </w:rPr>
          <w:t xml:space="preserve">https://doi.org/10.1016/j.rser.2022.112303</w:t>
        </w:r>
      </w:hyperlink>
    </w:p>
    <w:bookmarkEnd w:id="1029"/>
    <w:bookmarkStart w:id="1031" w:name="ref-prakashSubmissionSemiScheduled2020"/>
    <w:p>
      <w:pPr>
        <w:pStyle w:val="Bibliography"/>
      </w:pPr>
      <w:r>
        <w:t xml:space="preserve">Prakash, A., Keeratimahat, K., Bruce, A., MacGill, I., 2020.</w:t>
      </w:r>
      <w:r>
        <w:t xml:space="preserve"> </w:t>
      </w:r>
      <w:hyperlink r:id="rId1030">
        <w:r>
          <w:rPr>
            <w:rStyle w:val="Hyperlink"/>
          </w:rPr>
          <w:t xml:space="preserve">Submission to the</w:t>
        </w:r>
        <w:r>
          <w:rPr>
            <w:rStyle w:val="Hyperlink"/>
          </w:rPr>
          <w:t xml:space="preserve"> </w:t>
        </w:r>
        <w:r>
          <w:rPr>
            <w:rStyle w:val="Hyperlink"/>
          </w:rPr>
          <w:t xml:space="preserve">Semi</w:t>
        </w:r>
        <w:r>
          <w:rPr>
            <w:rStyle w:val="Hyperlink"/>
          </w:rPr>
          <w:t xml:space="preserve"> </w:t>
        </w:r>
        <w:r>
          <w:rPr>
            <w:rStyle w:val="Hyperlink"/>
          </w:rPr>
          <w:t xml:space="preserve">scheduled generator rule change (s)</w:t>
        </w:r>
        <w:r>
          <w:rPr>
            <w:rStyle w:val="Hyperlink"/>
          </w:rPr>
          <w:t xml:space="preserve"> </w:t>
        </w:r>
        <w:r>
          <w:rPr>
            <w:rStyle w:val="Hyperlink"/>
          </w:rPr>
          <w:t xml:space="preserve">Issues</w:t>
        </w:r>
        <w:r>
          <w:rPr>
            <w:rStyle w:val="Hyperlink"/>
          </w:rPr>
          <w:t xml:space="preserve"> </w:t>
        </w:r>
        <w:r>
          <w:rPr>
            <w:rStyle w:val="Hyperlink"/>
          </w:rPr>
          <w:t xml:space="preserve">paper</w:t>
        </w:r>
      </w:hyperlink>
      <w:r>
        <w:t xml:space="preserve">.</w:t>
      </w:r>
    </w:p>
    <w:bookmarkEnd w:id="1031"/>
    <w:bookmarkStart w:id="103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032">
        <w:r>
          <w:rPr>
            <w:rStyle w:val="Hyperlink"/>
          </w:rPr>
          <w:t xml:space="preserve">https://doi.org/10.13140/RG.2.2.11620.50560</w:t>
        </w:r>
      </w:hyperlink>
    </w:p>
    <w:bookmarkEnd w:id="1033"/>
    <w:bookmarkStart w:id="103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34">
        <w:r>
          <w:rPr>
            <w:rStyle w:val="Hyperlink"/>
          </w:rPr>
          <w:t xml:space="preserve">https://doi.org/10.13140/RG.2.2.35007.59043</w:t>
        </w:r>
      </w:hyperlink>
    </w:p>
    <w:bookmarkEnd w:id="1035"/>
    <w:bookmarkStart w:id="103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36">
        <w:r>
          <w:rPr>
            <w:rStyle w:val="Hyperlink"/>
          </w:rPr>
          <w:t xml:space="preserve">https://doi.org/10.1016/j.eneco.2023.106601</w:t>
        </w:r>
      </w:hyperlink>
    </w:p>
    <w:bookmarkEnd w:id="1037"/>
    <w:bookmarkStart w:id="1039" w:name="X7a15378edc68ff1856607874a263b214133de25"/>
    <w:p>
      <w:pPr>
        <w:pStyle w:val="Bibliography"/>
      </w:pPr>
      <w:r>
        <w:t xml:space="preserve">Rangel, L.F., 2008. Competition policy and regulation in hydro-dominated electricity markets. Energy Policy 36, 1292–1302.</w:t>
      </w:r>
      <w:r>
        <w:t xml:space="preserve"> </w:t>
      </w:r>
      <w:hyperlink r:id="rId1038">
        <w:r>
          <w:rPr>
            <w:rStyle w:val="Hyperlink"/>
          </w:rPr>
          <w:t xml:space="preserve">https://doi.org/10.1016/j.enpol.2007.12.005</w:t>
        </w:r>
      </w:hyperlink>
    </w:p>
    <w:bookmarkEnd w:id="1039"/>
    <w:bookmarkStart w:id="104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40">
        <w:r>
          <w:rPr>
            <w:rStyle w:val="Hyperlink"/>
          </w:rPr>
          <w:t xml:space="preserve">https://doi.org/10.1038/s41560-021-00868-9</w:t>
        </w:r>
      </w:hyperlink>
    </w:p>
    <w:bookmarkEnd w:id="1041"/>
    <w:bookmarkStart w:id="104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42"/>
    <w:bookmarkStart w:id="104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43">
        <w:r>
          <w:rPr>
            <w:rStyle w:val="Hyperlink"/>
          </w:rPr>
          <w:t xml:space="preserve">https://doi.org/10.1109/tpwrs.2006.888965</w:t>
        </w:r>
      </w:hyperlink>
    </w:p>
    <w:bookmarkEnd w:id="1044"/>
    <w:bookmarkStart w:id="104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45">
        <w:r>
          <w:rPr>
            <w:rStyle w:val="Hyperlink"/>
          </w:rPr>
          <w:t xml:space="preserve">https://doi.org/10.1109/tpwrs.2006.888963</w:t>
        </w:r>
      </w:hyperlink>
    </w:p>
    <w:bookmarkEnd w:id="1046"/>
    <w:bookmarkStart w:id="104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47">
        <w:r>
          <w:rPr>
            <w:rStyle w:val="Hyperlink"/>
          </w:rPr>
          <w:t xml:space="preserve">https://doi.org/10.1016/j.tej.2007.06.003</w:t>
        </w:r>
      </w:hyperlink>
    </w:p>
    <w:bookmarkEnd w:id="1048"/>
    <w:bookmarkStart w:id="1050" w:name="X89f15ff5920cde4fed5687ce100c6aeeedd900c"/>
    <w:p>
      <w:pPr>
        <w:pStyle w:val="Bibliography"/>
      </w:pPr>
      <w:r>
        <w:t xml:space="preserve">Redefining Resource Adequacy Task Force, 2021.</w:t>
      </w:r>
      <w:r>
        <w:t xml:space="preserve"> </w:t>
      </w:r>
      <w:hyperlink r:id="rId104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50"/>
    <w:bookmarkStart w:id="105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51"/>
    <w:bookmarkStart w:id="1053" w:name="X7bf77d71136be2ef42a3439ae3ea29b9ec6613b"/>
    <w:p>
      <w:pPr>
        <w:pStyle w:val="Bibliography"/>
      </w:pPr>
      <w:r>
        <w:t xml:space="preserve">Renewable Energy Hub, 2021.</w:t>
      </w:r>
      <w:r>
        <w:t xml:space="preserve"> </w:t>
      </w:r>
      <w:hyperlink r:id="rId105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53"/>
    <w:bookmarkStart w:id="1055"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54">
        <w:r>
          <w:rPr>
            <w:rStyle w:val="Hyperlink"/>
          </w:rPr>
          <w:t xml:space="preserve">https://doi.org/10.1016/j.renene.2023.119416</w:t>
        </w:r>
      </w:hyperlink>
    </w:p>
    <w:bookmarkEnd w:id="1055"/>
    <w:bookmarkStart w:id="105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56">
        <w:r>
          <w:rPr>
            <w:rStyle w:val="Hyperlink"/>
          </w:rPr>
          <w:t xml:space="preserve">https://doi.org/10.5547/2160-5890.5.1.jrie</w:t>
        </w:r>
      </w:hyperlink>
    </w:p>
    <w:bookmarkEnd w:id="1057"/>
    <w:bookmarkStart w:id="105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58">
        <w:r>
          <w:rPr>
            <w:rStyle w:val="Hyperlink"/>
          </w:rPr>
          <w:t xml:space="preserve">https://doi.org/10.1016/j.tej.2015.03.006</w:t>
        </w:r>
      </w:hyperlink>
    </w:p>
    <w:bookmarkEnd w:id="1059"/>
    <w:bookmarkStart w:id="106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60">
        <w:r>
          <w:rPr>
            <w:rStyle w:val="Hyperlink"/>
          </w:rPr>
          <w:t xml:space="preserve">https://doi.org/10.1002/wene.137</w:t>
        </w:r>
      </w:hyperlink>
    </w:p>
    <w:bookmarkEnd w:id="1061"/>
    <w:bookmarkStart w:id="106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62">
        <w:r>
          <w:rPr>
            <w:rStyle w:val="Hyperlink"/>
          </w:rPr>
          <w:t xml:space="preserve">https://doi.org/10.1016/j.epsr.2022.108725</w:t>
        </w:r>
      </w:hyperlink>
    </w:p>
    <w:bookmarkEnd w:id="1063"/>
    <w:bookmarkStart w:id="1064" w:name="ref-robertsReviewInternationalGrid2018"/>
    <w:p>
      <w:pPr>
        <w:pStyle w:val="Bibliography"/>
      </w:pPr>
      <w:r>
        <w:t xml:space="preserve">Roberts, C., 2018. Review of</w:t>
      </w:r>
      <w:r>
        <w:t xml:space="preserve"> </w:t>
      </w:r>
      <w:r>
        <w:t xml:space="preserve">International Grid Codes</w:t>
      </w:r>
      <w:r>
        <w:t xml:space="preserve">.</w:t>
      </w:r>
    </w:p>
    <w:bookmarkEnd w:id="1064"/>
    <w:bookmarkStart w:id="1066" w:name="ref-robertsVPPUserResearch2020"/>
    <w:p>
      <w:pPr>
        <w:pStyle w:val="Bibliography"/>
      </w:pPr>
      <w:r>
        <w:t xml:space="preserve">Roberts, M., Adams, S., Kuch, D., 2020.</w:t>
      </w:r>
      <w:r>
        <w:t xml:space="preserve"> </w:t>
      </w:r>
      <w:hyperlink r:id="rId1065">
        <w:r>
          <w:rPr>
            <w:rStyle w:val="Hyperlink"/>
          </w:rPr>
          <w:t xml:space="preserve">VPP User Research Final Report</w:t>
        </w:r>
      </w:hyperlink>
      <w:r>
        <w:t xml:space="preserve">. Solar Analytics, UNSW Sydney, UsersTCP.</w:t>
      </w:r>
    </w:p>
    <w:bookmarkEnd w:id="1066"/>
    <w:bookmarkStart w:id="1068"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67">
        <w:r>
          <w:rPr>
            <w:rStyle w:val="Hyperlink"/>
          </w:rPr>
          <w:t xml:space="preserve">https://doi.org/10.1016/j.erss.2023.103241</w:t>
        </w:r>
      </w:hyperlink>
    </w:p>
    <w:bookmarkEnd w:id="1068"/>
    <w:bookmarkStart w:id="106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69"/>
    <w:bookmarkStart w:id="1071" w:name="ref-roquesEvolutionEuropeanModel2021a"/>
    <w:p>
      <w:pPr>
        <w:pStyle w:val="Bibliography"/>
      </w:pPr>
      <w:r>
        <w:t xml:space="preserve">Roques, F., 2021.</w:t>
      </w:r>
      <w:r>
        <w:t xml:space="preserve"> </w:t>
      </w:r>
      <w:hyperlink r:id="rId1070">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71"/>
    <w:bookmarkStart w:id="107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72">
        <w:r>
          <w:rPr>
            <w:rStyle w:val="Hyperlink"/>
          </w:rPr>
          <w:t xml:space="preserve">https://doi.org/10.1016/j.jup.2008.01.008</w:t>
        </w:r>
      </w:hyperlink>
    </w:p>
    <w:bookmarkEnd w:id="1073"/>
    <w:bookmarkStart w:id="107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74">
        <w:r>
          <w:rPr>
            <w:rStyle w:val="Hyperlink"/>
          </w:rPr>
          <w:t xml:space="preserve">https://doi.org/10.1016/j.enpol.2017.02.035</w:t>
        </w:r>
      </w:hyperlink>
    </w:p>
    <w:bookmarkEnd w:id="1075"/>
    <w:bookmarkStart w:id="107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76">
        <w:r>
          <w:rPr>
            <w:rStyle w:val="Hyperlink"/>
          </w:rPr>
          <w:t xml:space="preserve">https://doi.org/10.1109/hicss.2014.304</w:t>
        </w:r>
      </w:hyperlink>
    </w:p>
    <w:bookmarkEnd w:id="1077"/>
    <w:bookmarkStart w:id="107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78">
        <w:r>
          <w:rPr>
            <w:rStyle w:val="Hyperlink"/>
          </w:rPr>
          <w:t xml:space="preserve">https://doi.org/10.3929/ethz-a-010692129</w:t>
        </w:r>
      </w:hyperlink>
    </w:p>
    <w:bookmarkEnd w:id="1079"/>
    <w:bookmarkStart w:id="108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80">
        <w:r>
          <w:rPr>
            <w:rStyle w:val="Hyperlink"/>
          </w:rPr>
          <w:t xml:space="preserve">https://doi.org/10.1016/j.enpol.2013.07.030</w:t>
        </w:r>
      </w:hyperlink>
    </w:p>
    <w:bookmarkEnd w:id="1081"/>
    <w:bookmarkStart w:id="108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82"/>
    <w:bookmarkStart w:id="108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83">
        <w:r>
          <w:rPr>
            <w:rStyle w:val="Hyperlink"/>
          </w:rPr>
          <w:t xml:space="preserve">https://doi.org/10.1016/j.jup.2020.101017</w:t>
        </w:r>
      </w:hyperlink>
    </w:p>
    <w:bookmarkEnd w:id="1084"/>
    <w:bookmarkStart w:id="108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85">
        <w:r>
          <w:rPr>
            <w:rStyle w:val="Hyperlink"/>
          </w:rPr>
          <w:t xml:space="preserve">https://doi.org/10.13140/RG.2.2.30173.69601</w:t>
        </w:r>
      </w:hyperlink>
    </w:p>
    <w:bookmarkEnd w:id="1086"/>
    <w:bookmarkStart w:id="1087"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87"/>
    <w:bookmarkStart w:id="108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88"/>
    <w:bookmarkStart w:id="108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89"/>
    <w:bookmarkStart w:id="109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90">
        <w:r>
          <w:rPr>
            <w:rStyle w:val="Hyperlink"/>
          </w:rPr>
          <w:t xml:space="preserve">https://doi.org/10.1016/j.energy.2016.05.086</w:t>
        </w:r>
      </w:hyperlink>
    </w:p>
    <w:bookmarkEnd w:id="1091"/>
    <w:bookmarkStart w:id="109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92">
        <w:r>
          <w:rPr>
            <w:rStyle w:val="Hyperlink"/>
          </w:rPr>
          <w:t xml:space="preserve">https://doi.org/10.1016/j.apenergy.2021.116833</w:t>
        </w:r>
      </w:hyperlink>
    </w:p>
    <w:bookmarkEnd w:id="1093"/>
    <w:bookmarkStart w:id="109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94">
        <w:r>
          <w:rPr>
            <w:rStyle w:val="Hyperlink"/>
          </w:rPr>
          <w:t xml:space="preserve">https://doi.org/10.1016/j.rser.2022.112228</w:t>
        </w:r>
      </w:hyperlink>
    </w:p>
    <w:bookmarkEnd w:id="1095"/>
    <w:bookmarkStart w:id="109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96"/>
    <w:bookmarkStart w:id="1098" w:name="X7a8c4b1622379fc45119dd65b4cf630d19367de"/>
    <w:p>
      <w:pPr>
        <w:pStyle w:val="Bibliography"/>
      </w:pPr>
      <w:r>
        <w:t xml:space="preserve">Singhal, N.G., Ela, E.G., 2019.</w:t>
      </w:r>
      <w:r>
        <w:t xml:space="preserve"> </w:t>
      </w:r>
      <w:hyperlink r:id="rId109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98"/>
    <w:bookmarkStart w:id="110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99">
        <w:r>
          <w:rPr>
            <w:rStyle w:val="Hyperlink"/>
          </w:rPr>
          <w:t xml:space="preserve">https://doi.org/10.1016/j.jup.2005.12.002</w:t>
        </w:r>
      </w:hyperlink>
    </w:p>
    <w:bookmarkEnd w:id="1100"/>
    <w:bookmarkStart w:id="1102" w:name="ref-sioshansiWhenEnergyStorage2014"/>
    <w:p>
      <w:pPr>
        <w:pStyle w:val="Bibliography"/>
      </w:pPr>
      <w:r>
        <w:t xml:space="preserve">Sioshansi, R., 2014. When energy storage reduces social welfare. Energy Economics 41, 106–116.</w:t>
      </w:r>
      <w:r>
        <w:t xml:space="preserve"> </w:t>
      </w:r>
      <w:hyperlink r:id="rId1101">
        <w:r>
          <w:rPr>
            <w:rStyle w:val="Hyperlink"/>
          </w:rPr>
          <w:t xml:space="preserve">https://doi.org/10.1016/j.eneco.2013.09.027</w:t>
        </w:r>
      </w:hyperlink>
    </w:p>
    <w:bookmarkEnd w:id="1102"/>
    <w:bookmarkStart w:id="110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103">
        <w:r>
          <w:rPr>
            <w:rStyle w:val="Hyperlink"/>
          </w:rPr>
          <w:t xml:space="preserve">https://doi.org/10.1016/j.eneco.2008.10.005</w:t>
        </w:r>
      </w:hyperlink>
    </w:p>
    <w:bookmarkEnd w:id="1104"/>
    <w:bookmarkStart w:id="110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105"/>
    <w:bookmarkStart w:id="110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106">
        <w:r>
          <w:rPr>
            <w:rStyle w:val="Hyperlink"/>
          </w:rPr>
          <w:t xml:space="preserve">https://doi.org/10.1016/j.tej.2020.106837</w:t>
        </w:r>
      </w:hyperlink>
    </w:p>
    <w:bookmarkEnd w:id="1107"/>
    <w:bookmarkStart w:id="110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108">
        <w:r>
          <w:rPr>
            <w:rStyle w:val="Hyperlink"/>
          </w:rPr>
          <w:t xml:space="preserve">https://doi.org/10.1109/mpe.2021.3104076</w:t>
        </w:r>
      </w:hyperlink>
    </w:p>
    <w:bookmarkEnd w:id="1109"/>
    <w:bookmarkStart w:id="111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110">
        <w:r>
          <w:rPr>
            <w:rStyle w:val="Hyperlink"/>
          </w:rPr>
          <w:t xml:space="preserve">https://doi.org/10.1109/mpe.2020.3014720</w:t>
        </w:r>
      </w:hyperlink>
    </w:p>
    <w:bookmarkEnd w:id="1111"/>
    <w:bookmarkStart w:id="111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112">
        <w:r>
          <w:rPr>
            <w:rStyle w:val="Hyperlink"/>
          </w:rPr>
          <w:t xml:space="preserve">https://doi.org/10.1007/978-3-319-68418-5_9</w:t>
        </w:r>
      </w:hyperlink>
    </w:p>
    <w:bookmarkEnd w:id="1113"/>
    <w:bookmarkStart w:id="111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114">
        <w:r>
          <w:rPr>
            <w:rStyle w:val="Hyperlink"/>
          </w:rPr>
          <w:t xml:space="preserve">https://doi.org/10.1016/j.tej.2021.106934</w:t>
        </w:r>
      </w:hyperlink>
    </w:p>
    <w:bookmarkEnd w:id="1115"/>
    <w:bookmarkStart w:id="1117" w:name="ref-reback2020pandas"/>
    <w:p>
      <w:pPr>
        <w:pStyle w:val="Bibliography"/>
      </w:pPr>
      <w:r>
        <w:t xml:space="preserve">The pandas development team, 2020. Pandas-dev/pandas:</w:t>
      </w:r>
      <w:r>
        <w:t xml:space="preserve"> </w:t>
      </w:r>
      <w:r>
        <w:t xml:space="preserve">Pandas</w:t>
      </w:r>
      <w:r>
        <w:t xml:space="preserve">.</w:t>
      </w:r>
      <w:r>
        <w:t xml:space="preserve"> </w:t>
      </w:r>
      <w:hyperlink r:id="rId1116">
        <w:r>
          <w:rPr>
            <w:rStyle w:val="Hyperlink"/>
          </w:rPr>
          <w:t xml:space="preserve">https://doi.org/10.5281/zenodo.3509134</w:t>
        </w:r>
      </w:hyperlink>
    </w:p>
    <w:bookmarkEnd w:id="1117"/>
    <w:bookmarkStart w:id="111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118">
        <w:r>
          <w:rPr>
            <w:rStyle w:val="Hyperlink"/>
          </w:rPr>
          <w:t xml:space="preserve">https://doi.org/10.1109/pes.2007.385855</w:t>
        </w:r>
      </w:hyperlink>
    </w:p>
    <w:bookmarkEnd w:id="1119"/>
    <w:bookmarkStart w:id="112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120">
        <w:r>
          <w:rPr>
            <w:rStyle w:val="Hyperlink"/>
          </w:rPr>
          <w:t xml:space="preserve">https://doi.org/10.1260/030952408784305868</w:t>
        </w:r>
      </w:hyperlink>
    </w:p>
    <w:bookmarkEnd w:id="1121"/>
    <w:bookmarkStart w:id="1123" w:name="ref-tielensRelevanceInertiaPower2016"/>
    <w:p>
      <w:pPr>
        <w:pStyle w:val="Bibliography"/>
      </w:pPr>
      <w:r>
        <w:t xml:space="preserve">Tielens, P., Van Hertem, D., 2016. The relevance of inertia in power systems. Renewable and Sustainable Energy Reviews 55, 999–1009.</w:t>
      </w:r>
      <w:r>
        <w:t xml:space="preserve"> </w:t>
      </w:r>
      <w:hyperlink r:id="rId1122">
        <w:r>
          <w:rPr>
            <w:rStyle w:val="Hyperlink"/>
          </w:rPr>
          <w:t xml:space="preserve">https://doi.org/10.1016/j.rser.2015.11.016</w:t>
        </w:r>
      </w:hyperlink>
    </w:p>
    <w:bookmarkEnd w:id="1123"/>
    <w:bookmarkStart w:id="112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124">
        <w:r>
          <w:rPr>
            <w:rStyle w:val="Hyperlink"/>
          </w:rPr>
          <w:t xml:space="preserve">https://doi.org/10.1016/j.egyai.2023.100250</w:t>
        </w:r>
      </w:hyperlink>
    </w:p>
    <w:bookmarkEnd w:id="1125"/>
    <w:bookmarkStart w:id="112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126">
        <w:r>
          <w:rPr>
            <w:rStyle w:val="Hyperlink"/>
          </w:rPr>
          <w:t xml:space="preserve">https://doi.org/10.1016/j.ijepes.2015.02.028</w:t>
        </w:r>
      </w:hyperlink>
    </w:p>
    <w:bookmarkEnd w:id="1127"/>
    <w:bookmarkStart w:id="112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128">
        <w:r>
          <w:rPr>
            <w:rStyle w:val="Hyperlink"/>
          </w:rPr>
          <w:t xml:space="preserve">https://doi.org/10.3182/20140824-6-za-1003.02615</w:t>
        </w:r>
      </w:hyperlink>
    </w:p>
    <w:bookmarkEnd w:id="1129"/>
    <w:bookmarkStart w:id="113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130"/>
    <w:bookmarkStart w:id="113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131"/>
    <w:bookmarkStart w:id="1133" w:name="X36f973dec2a9338d271d200dfffe96eef403053"/>
    <w:p>
      <w:pPr>
        <w:pStyle w:val="Bibliography"/>
      </w:pPr>
      <w:r>
        <w:t xml:space="preserve">UNSW Research Technology Services, 2023. Katana [WWW Document]. URL</w:t>
      </w:r>
      <w:r>
        <w:t xml:space="preserve"> </w:t>
      </w:r>
      <w:hyperlink r:id="rId1132">
        <w:r>
          <w:rPr>
            <w:rStyle w:val="Hyperlink"/>
          </w:rPr>
          <w:t xml:space="preserve">https://researchdata.edu.au/katana/1733007</w:t>
        </w:r>
      </w:hyperlink>
      <w:r>
        <w:t xml:space="preserve"> </w:t>
      </w:r>
      <w:r>
        <w:t xml:space="preserve">(accessed 11.27.2023).</w:t>
      </w:r>
    </w:p>
    <w:bookmarkEnd w:id="1133"/>
    <w:bookmarkStart w:id="113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34">
        <w:r>
          <w:rPr>
            <w:rStyle w:val="Hyperlink"/>
          </w:rPr>
          <w:t xml:space="preserve">https://doi.org/10.1016/j.jup.2016.10.008</w:t>
        </w:r>
      </w:hyperlink>
    </w:p>
    <w:bookmarkEnd w:id="1135"/>
    <w:bookmarkStart w:id="113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36">
        <w:r>
          <w:rPr>
            <w:rStyle w:val="Hyperlink"/>
          </w:rPr>
          <w:t xml:space="preserve">https://doi.org/10.1016/j.enpol.2009.07.034</w:t>
        </w:r>
      </w:hyperlink>
    </w:p>
    <w:bookmarkEnd w:id="1137"/>
    <w:bookmarkStart w:id="113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38">
        <w:r>
          <w:rPr>
            <w:rStyle w:val="Hyperlink"/>
          </w:rPr>
          <w:t xml:space="preserve">https://doi.org/10.1016/j.apenergy.2017.08.164</w:t>
        </w:r>
      </w:hyperlink>
    </w:p>
    <w:bookmarkEnd w:id="1139"/>
    <w:bookmarkStart w:id="114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40">
        <w:r>
          <w:rPr>
            <w:rStyle w:val="Hyperlink"/>
          </w:rPr>
          <w:t xml:space="preserve">https://doi.org/10.5547/2160-5890.2.2.5</w:t>
        </w:r>
      </w:hyperlink>
    </w:p>
    <w:bookmarkEnd w:id="1141"/>
    <w:bookmarkStart w:id="114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42"/>
    <w:bookmarkStart w:id="114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43">
        <w:r>
          <w:rPr>
            <w:rStyle w:val="Hyperlink"/>
          </w:rPr>
          <w:t xml:space="preserve">https://doi.org/10.1049/iet-gtd.2017.0037</w:t>
        </w:r>
      </w:hyperlink>
    </w:p>
    <w:bookmarkEnd w:id="1144"/>
    <w:bookmarkStart w:id="114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45">
        <w:r>
          <w:rPr>
            <w:rStyle w:val="Hyperlink"/>
          </w:rPr>
          <w:t xml:space="preserve">https://doi.org/10.1109/APPEEC53445.2022.10072037</w:t>
        </w:r>
      </w:hyperlink>
    </w:p>
    <w:bookmarkEnd w:id="1146"/>
    <w:bookmarkStart w:id="1148"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47">
        <w:r>
          <w:rPr>
            <w:rStyle w:val="Hyperlink"/>
          </w:rPr>
          <w:t xml:space="preserve">https://doi.org/10.1016/j.joule.2022.08.009</w:t>
        </w:r>
      </w:hyperlink>
    </w:p>
    <w:bookmarkEnd w:id="1148"/>
    <w:bookmarkStart w:id="1150" w:name="ref-williamsBatteryNationOperation2019"/>
    <w:p>
      <w:pPr>
        <w:pStyle w:val="Bibliography"/>
      </w:pPr>
      <w:r>
        <w:t xml:space="preserve">Williams, P., Potter, C., Allie, S., 2019.</w:t>
      </w:r>
      <w:r>
        <w:t xml:space="preserve"> </w:t>
      </w:r>
      <w:hyperlink r:id="rId1149">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50"/>
    <w:bookmarkStart w:id="1152" w:name="X2b00c878694ff3ec7397269e6cb0693693dd5ff"/>
    <w:p>
      <w:pPr>
        <w:pStyle w:val="Bibliography"/>
      </w:pPr>
      <w:r>
        <w:t xml:space="preserve">Wilson, S., 2020.</w:t>
      </w:r>
      <w:r>
        <w:t xml:space="preserve"> </w:t>
      </w:r>
      <w:hyperlink r:id="rId115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52"/>
    <w:bookmarkStart w:id="115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53"/>
    <w:bookmarkStart w:id="1155" w:name="ref-xuRoleModelingBattery2022"/>
    <w:p>
      <w:pPr>
        <w:pStyle w:val="Bibliography"/>
      </w:pPr>
      <w:r>
        <w:t xml:space="preserve">Xu, B., 2022. The role of modeling battery degradation in bulk power system optimizations. MRS Energy &amp; Sustainability.</w:t>
      </w:r>
      <w:r>
        <w:t xml:space="preserve"> </w:t>
      </w:r>
      <w:hyperlink r:id="rId1154">
        <w:r>
          <w:rPr>
            <w:rStyle w:val="Hyperlink"/>
          </w:rPr>
          <w:t xml:space="preserve">https://doi.org/10.1557/s43581-022-00047-7</w:t>
        </w:r>
      </w:hyperlink>
    </w:p>
    <w:bookmarkEnd w:id="1155"/>
    <w:bookmarkStart w:id="115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56">
        <w:r>
          <w:rPr>
            <w:rStyle w:val="Hyperlink"/>
          </w:rPr>
          <w:t xml:space="preserve">https://doi.org/10.1016/j.rser.2022.112671</w:t>
        </w:r>
      </w:hyperlink>
    </w:p>
    <w:bookmarkEnd w:id="1157"/>
    <w:bookmarkStart w:id="1159" w:name="Xcee4068c5eb8f2922bd92e71ffc9bc382fd51ab"/>
    <w:p>
      <w:pPr>
        <w:pStyle w:val="Bibliography"/>
      </w:pPr>
      <w:r>
        <w:t xml:space="preserve">Yurdakul, O., Billimoria, F., 2023b.</w:t>
      </w:r>
      <w:r>
        <w:t xml:space="preserve"> </w:t>
      </w:r>
      <w:hyperlink r:id="rId115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59"/>
    <w:bookmarkStart w:id="1161" w:name="X56c308236ff3023b92d43875cdb1bf5730f8e65"/>
    <w:p>
      <w:pPr>
        <w:pStyle w:val="Bibliography"/>
      </w:pPr>
      <w:r>
        <w:t xml:space="preserve">Yurdakul, O., Billimoria, F., 2023a.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60">
        <w:r>
          <w:rPr>
            <w:rStyle w:val="Hyperlink"/>
          </w:rPr>
          <w:t xml:space="preserve">http://arxiv.org/abs/2212.00209</w:t>
        </w:r>
      </w:hyperlink>
      <w:r>
        <w:t xml:space="preserve"> </w:t>
      </w:r>
      <w:r>
        <w:t xml:space="preserve">(accessed 3.19.2023).</w:t>
      </w:r>
    </w:p>
    <w:bookmarkEnd w:id="1161"/>
    <w:bookmarkStart w:id="116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62">
        <w:r>
          <w:rPr>
            <w:rStyle w:val="Hyperlink"/>
          </w:rPr>
          <w:t xml:space="preserve">https://doi.org/10.1109/tpwrs.2015.2390038</w:t>
        </w:r>
      </w:hyperlink>
    </w:p>
    <w:bookmarkEnd w:id="1163"/>
    <w:bookmarkStart w:id="116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64"/>
    <w:bookmarkEnd w:id="1165"/>
    <w:bookmarkEnd w:id="1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59">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79">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100">
    <w:p>
      <w:pPr>
        <w:pStyle w:val="FootnoteText"/>
      </w:pPr>
      <w:r>
        <w:rPr>
          <w:rStyle w:val="FootnoteReference"/>
        </w:rPr>
        <w:footnoteRef/>
      </w:r>
      <w:r>
        <w:t xml:space="preserve"> </w:t>
      </w:r>
      <w:r>
        <w:t xml:space="preserve">This is a common variant of the generic problem description described in Section 2.3.</w:t>
      </w:r>
    </w:p>
  </w:footnote>
  <w:footnote w:id="101">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110">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111">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2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3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4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4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5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6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96">
    <w:p>
      <w:pPr>
        <w:pStyle w:val="FootnoteText"/>
      </w:pPr>
      <w:r>
        <w:rPr>
          <w:rStyle w:val="FootnoteReference"/>
        </w:rPr>
        <w:footnoteRef/>
      </w:r>
      <w:r>
        <w:t xml:space="preserve"> </w:t>
      </w:r>
      <w:r>
        <w:t xml:space="preserve">Many of these resources were previously restricted to FCAS provision.</w:t>
      </w:r>
    </w:p>
  </w:footnote>
  <w:footnote w:id="20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20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3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4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4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4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6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7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7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8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8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8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8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8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9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30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314">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5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6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50" Target="media/rId150.png" /><Relationship Type="http://schemas.openxmlformats.org/officeDocument/2006/relationships/image" Id="rId383" Target="media/rId383.png" /><Relationship Type="http://schemas.openxmlformats.org/officeDocument/2006/relationships/image" Id="rId328" Target="media/rId328.pdf" /><Relationship Type="http://schemas.openxmlformats.org/officeDocument/2006/relationships/image" Id="rId331" Target="media/rId331.pdf" /><Relationship Type="http://schemas.openxmlformats.org/officeDocument/2006/relationships/image" Id="rId334" Target="media/rId334.pdf" /><Relationship Type="http://schemas.openxmlformats.org/officeDocument/2006/relationships/image" Id="rId302" Target="media/rId302.pdf" /><Relationship Type="http://schemas.openxmlformats.org/officeDocument/2006/relationships/image" Id="rId322" Target="media/rId322.pdf" /><Relationship Type="http://schemas.openxmlformats.org/officeDocument/2006/relationships/image" Id="rId169" Target="media/rId169.eps" /><Relationship Type="http://schemas.openxmlformats.org/officeDocument/2006/relationships/image" Id="rId355" Target="media/rId355.png" /><Relationship Type="http://schemas.openxmlformats.org/officeDocument/2006/relationships/image" Id="rId386" Target="media/rId386.png" /><Relationship Type="http://schemas.openxmlformats.org/officeDocument/2006/relationships/image" Id="rId94" Target="media/rId94.png" /><Relationship Type="http://schemas.openxmlformats.org/officeDocument/2006/relationships/image" Id="rId54" Target="media/rId54.pdf"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88" Target="media/rId8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3" Target="media/rId293.pdf" /><Relationship Type="http://schemas.openxmlformats.org/officeDocument/2006/relationships/image" Id="rId80" Target="media/rId80.pdf" /><Relationship Type="http://schemas.openxmlformats.org/officeDocument/2006/relationships/image" Id="rId242" Target="media/rId242.png" /><Relationship Type="http://schemas.openxmlformats.org/officeDocument/2006/relationships/image" Id="rId305" Target="media/rId305.pdf" /><Relationship Type="http://schemas.openxmlformats.org/officeDocument/2006/relationships/image" Id="rId180" Target="media/rId180.eps" /><Relationship Type="http://schemas.openxmlformats.org/officeDocument/2006/relationships/image" Id="rId232" Target="media/rId232.png" /><Relationship Type="http://schemas.openxmlformats.org/officeDocument/2006/relationships/image" Id="rId60" Target="media/rId60.pdf" /><Relationship Type="http://schemas.openxmlformats.org/officeDocument/2006/relationships/image" Id="rId299" Target="media/rId299.pdf" /><Relationship Type="http://schemas.openxmlformats.org/officeDocument/2006/relationships/image" Id="rId203" Target="media/rId203.png" /><Relationship Type="http://schemas.openxmlformats.org/officeDocument/2006/relationships/image" Id="rId309" Target="media/rId309.pdf" /><Relationship Type="http://schemas.openxmlformats.org/officeDocument/2006/relationships/image" Id="rId173" Target="media/rId173.eps" /><Relationship Type="http://schemas.openxmlformats.org/officeDocument/2006/relationships/image" Id="rId120" Target="media/rId120.pdf" /><Relationship Type="http://schemas.openxmlformats.org/officeDocument/2006/relationships/image" Id="rId236" Target="media/rId236.png" /><Relationship Type="http://schemas.openxmlformats.org/officeDocument/2006/relationships/image" Id="rId316" Target="media/rId316.pdf" /><Relationship Type="http://schemas.openxmlformats.org/officeDocument/2006/relationships/image" Id="rId66" Target="media/rId66.png" /><Relationship Type="http://schemas.openxmlformats.org/officeDocument/2006/relationships/image" Id="rId158" Target="media/rId158.eps" /><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2024-10-22T00:01:29Z</dcterms:created>
  <dcterms:modified xsi:type="dcterms:W3CDTF">2024-10-22T00:01:29Z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22,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